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D6A84" w:rsidRPr="001E56D0" w14:paraId="3900A102" w14:textId="77777777" w:rsidTr="006D78CA">
        <w:trPr>
          <w:cantSplit/>
        </w:trPr>
        <w:tc>
          <w:tcPr>
            <w:tcW w:w="4644" w:type="dxa"/>
          </w:tcPr>
          <w:p w14:paraId="3EA0125E" w14:textId="77777777" w:rsidR="000D6A84" w:rsidRPr="001E56D0" w:rsidRDefault="00156E05" w:rsidP="001E56D0">
            <w:pPr>
              <w:spacing w:line="228" w:lineRule="auto"/>
              <w:rPr>
                <w:sz w:val="20"/>
              </w:rPr>
            </w:pPr>
            <w:r w:rsidRPr="001E56D0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060EB5A" wp14:editId="5131D634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0" r="0" b="38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A4CF2" w14:textId="77777777" w:rsidR="00444A98" w:rsidRPr="00B33430" w:rsidRDefault="00444A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8"/>
                                    </w:rPr>
                                    <w:t>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0EB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CSDgsz8gEAAMUDAAAOAAAAAAAAAAAAAAAAAC4CAABkcnMv&#10;ZTJvRG9jLnhtbFBLAQItABQABgAIAAAAIQDrVDFa3gAAAA8BAAAPAAAAAAAAAAAAAAAAAEwEAABk&#10;cnMvZG93bnJldi54bWxQSwUGAAAAAAQABADzAAAAVwUAAAAA&#10;" o:allowincell="f" filled="f" stroked="f">
                      <v:textbox>
                        <w:txbxContent>
                          <w:p w14:paraId="010A4CF2" w14:textId="77777777" w:rsidR="00444A98" w:rsidRPr="00B33430" w:rsidRDefault="00444A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A3AA9" w:rsidRPr="001E56D0">
              <w:rPr>
                <w:noProof/>
                <w:sz w:val="20"/>
                <w:lang w:val="en-US"/>
              </w:rPr>
              <w:drawing>
                <wp:inline distT="0" distB="0" distL="0" distR="0" wp14:anchorId="7FF36220" wp14:editId="370872A4">
                  <wp:extent cx="1799590" cy="1558925"/>
                  <wp:effectExtent l="0" t="0" r="0" b="3175"/>
                  <wp:docPr id="3" name="Picture 3" title="CoRLogo_P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56D0">
              <w:rPr>
                <w:b/>
                <w:bCs/>
                <w:noProof/>
                <w:sz w:val="20"/>
                <w:lang w:val="en-US"/>
              </w:rPr>
              <w:drawing>
                <wp:anchor distT="0" distB="0" distL="114300" distR="114300" simplePos="0" relativeHeight="251661312" behindDoc="0" locked="0" layoutInCell="0" allowOverlap="0" wp14:anchorId="5A22D1B9" wp14:editId="04D47F60">
                  <wp:simplePos x="0" y="0"/>
                  <wp:positionH relativeFrom="page">
                    <wp:posOffset>900430</wp:posOffset>
                  </wp:positionH>
                  <wp:positionV relativeFrom="page">
                    <wp:posOffset>10185400</wp:posOffset>
                  </wp:positionV>
                  <wp:extent cx="5760000" cy="266400"/>
                  <wp:effectExtent l="0" t="0" r="0" b="635"/>
                  <wp:wrapNone/>
                  <wp:docPr id="6" name="Picture 6" descr="C:\Users\mreg\Music\_New CoR logo\New LOGO CoR\Address\CoR letterhead top banner - address FR-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reg\Music\_New CoR logo\New LOGO CoR\Address\CoR letterhead top banner - address FR-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5" w:type="dxa"/>
          </w:tcPr>
          <w:p w14:paraId="1DED7079" w14:textId="77777777" w:rsidR="000D6A84" w:rsidRPr="001E56D0" w:rsidRDefault="000D6A84" w:rsidP="001E56D0">
            <w:pPr>
              <w:spacing w:line="228" w:lineRule="auto"/>
              <w:rPr>
                <w:sz w:val="20"/>
              </w:rPr>
            </w:pPr>
          </w:p>
        </w:tc>
      </w:tr>
      <w:tr w:rsidR="00444A98" w:rsidRPr="00406F7E" w14:paraId="37C97BCB" w14:textId="77777777" w:rsidTr="006D78CA">
        <w:trPr>
          <w:cantSplit/>
        </w:trPr>
        <w:tc>
          <w:tcPr>
            <w:tcW w:w="9289" w:type="dxa"/>
            <w:gridSpan w:val="2"/>
          </w:tcPr>
          <w:p w14:paraId="682D9567" w14:textId="77777777" w:rsidR="00444A98" w:rsidRPr="00406F7E" w:rsidRDefault="00365C10" w:rsidP="001E56D0">
            <w:pPr>
              <w:spacing w:line="228" w:lineRule="auto"/>
              <w:jc w:val="right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CIVEX-</w:t>
            </w:r>
            <w:r>
              <w:rPr>
                <w:b/>
                <w:bCs/>
                <w:sz w:val="28"/>
              </w:rPr>
              <w:t>VII/002</w:t>
            </w:r>
          </w:p>
        </w:tc>
      </w:tr>
      <w:tr w:rsidR="00444A98" w:rsidRPr="00406F7E" w14:paraId="34067F1C" w14:textId="77777777" w:rsidTr="006D78CA">
        <w:tc>
          <w:tcPr>
            <w:tcW w:w="9289" w:type="dxa"/>
            <w:gridSpan w:val="2"/>
          </w:tcPr>
          <w:p w14:paraId="479ED963" w14:textId="77777777" w:rsidR="00444A98" w:rsidRPr="00F06FF5" w:rsidRDefault="00F06FF5" w:rsidP="0088134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141. sesja plenarna w dniach 8–10 grudnia 2020 r.</w:t>
            </w:r>
          </w:p>
        </w:tc>
      </w:tr>
    </w:tbl>
    <w:p w14:paraId="78472E55" w14:textId="77777777" w:rsidR="00444A98" w:rsidRPr="00406F7E" w:rsidRDefault="00444A98" w:rsidP="0088134C">
      <w:pPr>
        <w:spacing w:line="240" w:lineRule="auto"/>
      </w:pPr>
    </w:p>
    <w:p w14:paraId="5DC978ED" w14:textId="77777777" w:rsidR="001B33A4" w:rsidRPr="00406F7E" w:rsidRDefault="00444A98" w:rsidP="0088134C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OPINIA</w:t>
      </w:r>
    </w:p>
    <w:p w14:paraId="1530F44B" w14:textId="77777777" w:rsidR="001B33A4" w:rsidRPr="00406F7E" w:rsidRDefault="001B33A4" w:rsidP="0088134C">
      <w:pPr>
        <w:spacing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1E2811" w14:paraId="52DABCB7" w14:textId="77777777" w:rsidTr="006D78CA">
        <w:trPr>
          <w:cantSplit/>
        </w:trPr>
        <w:tc>
          <w:tcPr>
            <w:tcW w:w="9289" w:type="dxa"/>
          </w:tcPr>
          <w:p w14:paraId="12188CB5" w14:textId="77777777" w:rsidR="00F35DE4" w:rsidRDefault="00365C10" w:rsidP="0088134C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Wzmocnienie sprawowania władzy na szczeblu lokalnym i demokracji przedstawicielskiej dzięki nowym instrumentom technologii cyfrowej </w:t>
            </w:r>
          </w:p>
        </w:tc>
      </w:tr>
    </w:tbl>
    <w:p w14:paraId="2C86A4D4" w14:textId="77777777" w:rsidR="00444A98" w:rsidRPr="00406F7E" w:rsidRDefault="00444A98" w:rsidP="0088134C">
      <w:pPr>
        <w:spacing w:line="240" w:lineRule="auto"/>
        <w:jc w:val="left"/>
      </w:pPr>
    </w:p>
    <w:tbl>
      <w:tblPr>
        <w:tblW w:w="988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3"/>
      </w:tblGrid>
      <w:tr w:rsidR="00444A98" w:rsidRPr="00406F7E" w14:paraId="7EE5F513" w14:textId="77777777" w:rsidTr="001E56D0">
        <w:tc>
          <w:tcPr>
            <w:tcW w:w="9883" w:type="dxa"/>
            <w:tcBorders>
              <w:top w:val="single" w:sz="4" w:space="0" w:color="auto"/>
              <w:bottom w:val="single" w:sz="4" w:space="0" w:color="auto"/>
            </w:tcBorders>
          </w:tcPr>
          <w:p w14:paraId="446E2584" w14:textId="77777777" w:rsidR="00F35DE4" w:rsidRPr="007C3120" w:rsidRDefault="00EC760A" w:rsidP="001E56D0">
            <w:pPr>
              <w:spacing w:line="228" w:lineRule="auto"/>
            </w:pPr>
            <w:r>
              <w:t>EUROPEJSKI KOMITET REGIONÓW</w:t>
            </w:r>
          </w:p>
          <w:p w14:paraId="50A22440" w14:textId="77777777" w:rsidR="00F35DE4" w:rsidRPr="0088134C" w:rsidRDefault="00F35DE4" w:rsidP="001E56D0">
            <w:pPr>
              <w:pStyle w:val="Akapitzlist"/>
              <w:numPr>
                <w:ilvl w:val="0"/>
                <w:numId w:val="21"/>
              </w:numPr>
              <w:tabs>
                <w:tab w:val="clear" w:pos="0"/>
              </w:tabs>
              <w:spacing w:line="228" w:lineRule="auto"/>
              <w:ind w:left="142" w:hanging="142"/>
              <w:rPr>
                <w:sz w:val="20"/>
              </w:rPr>
            </w:pPr>
            <w:r w:rsidRPr="0088134C">
              <w:rPr>
                <w:sz w:val="20"/>
              </w:rPr>
              <w:t>Zwraca uwagę, że pojawia się nowa cyfrowa scena polityczna. Zauważa, że procesy demokratyczne powinny ewoluować i dostosowywać się do zmian, wykorzystywać możliwości oferowane przez nowe technologie cyfrowe i</w:t>
            </w:r>
            <w:r w:rsidR="001E56D0">
              <w:rPr>
                <w:sz w:val="20"/>
              </w:rPr>
              <w:t> </w:t>
            </w:r>
            <w:r w:rsidRPr="0088134C">
              <w:rPr>
                <w:sz w:val="20"/>
              </w:rPr>
              <w:t>narzędzia ICT oraz zużytkować ich potencjał w zakresie poprawy jakości procesu decyzyjnego i sprawowania władzy na szczeblu lokalnym oraz wzmocnienia legitymacji naszego systemu demokratycznego.</w:t>
            </w:r>
          </w:p>
          <w:p w14:paraId="77558948" w14:textId="77777777" w:rsidR="00F35DE4" w:rsidRPr="0088134C" w:rsidRDefault="00F35DE4" w:rsidP="001E56D0">
            <w:pPr>
              <w:pStyle w:val="Akapitzlist"/>
              <w:numPr>
                <w:ilvl w:val="0"/>
                <w:numId w:val="21"/>
              </w:numPr>
              <w:tabs>
                <w:tab w:val="clear" w:pos="0"/>
              </w:tabs>
              <w:spacing w:line="228" w:lineRule="auto"/>
              <w:ind w:left="142" w:hanging="142"/>
              <w:rPr>
                <w:sz w:val="20"/>
              </w:rPr>
            </w:pPr>
            <w:r w:rsidRPr="0088134C">
              <w:rPr>
                <w:sz w:val="20"/>
              </w:rPr>
              <w:t>Uważa, że jednostki samorządu lokalnego i regionalnego to z natury rzeczy najlepszy poziom do przeprowadzenia transformacji cyfrowej, a wdrożenie e-rozwiązań w ramach władz lokalnych i regionalnych to doskonała okazja do świadczenia obywatelom wysokiej jakości usług publicznych, stworzenia nowych możliwości konsultacji i udziału, udostępniania wysokiej jakości informacji, analizy reakcji opinii publicznej, docierania do odległych terenów oraz obywateli w najtrudniejszej sytuacji, wykorzystywania umiejętności, wiedzy i know-how obywateli oraz kształtowania wspólnie z nimi polityki, która odpowiada ich potrzebom i oczekiwaniom.</w:t>
            </w:r>
          </w:p>
          <w:p w14:paraId="27808DC9" w14:textId="77777777" w:rsidR="00F35DE4" w:rsidRPr="0088134C" w:rsidRDefault="00F35DE4" w:rsidP="001E56D0">
            <w:pPr>
              <w:pStyle w:val="Akapitzlist"/>
              <w:numPr>
                <w:ilvl w:val="0"/>
                <w:numId w:val="21"/>
              </w:numPr>
              <w:tabs>
                <w:tab w:val="clear" w:pos="0"/>
              </w:tabs>
              <w:spacing w:line="228" w:lineRule="auto"/>
              <w:ind w:left="142" w:hanging="142"/>
              <w:rPr>
                <w:sz w:val="20"/>
              </w:rPr>
            </w:pPr>
            <w:r w:rsidRPr="0088134C">
              <w:rPr>
                <w:sz w:val="20"/>
              </w:rPr>
              <w:t>Uważa za istotne, by władze lokalne i regionalne korzystały z własnych kanałów cyfrowych do komunikacji ze społeczeństwem w celu zapewnienia, by dostarczane informacje były wiarygodne i odpowiadały potrzebom na poziomie lokalnym i regionalnym.</w:t>
            </w:r>
          </w:p>
          <w:p w14:paraId="09CC30F7" w14:textId="77777777" w:rsidR="00F35DE4" w:rsidRPr="0088134C" w:rsidRDefault="00F35DE4" w:rsidP="001E56D0">
            <w:pPr>
              <w:pStyle w:val="Akapitzlist"/>
              <w:numPr>
                <w:ilvl w:val="0"/>
                <w:numId w:val="21"/>
              </w:numPr>
              <w:tabs>
                <w:tab w:val="clear" w:pos="0"/>
              </w:tabs>
              <w:spacing w:line="228" w:lineRule="auto"/>
              <w:ind w:left="142" w:hanging="142"/>
              <w:rPr>
                <w:sz w:val="20"/>
              </w:rPr>
            </w:pPr>
            <w:r w:rsidRPr="0088134C">
              <w:rPr>
                <w:sz w:val="20"/>
              </w:rPr>
              <w:t xml:space="preserve">Akcentuje, że udział obywateli powinien opierać się na niedyskryminacyjnym dostępie do informacji i wiedzy oraz równym i swobodnym dostępie do usług cyfrowych. Zwraca uwagę na konieczność zmniejszenia przepaści cyfrowej dzięki kształceniu i szkoleniu, przy zwróceniu szczególnej uwagi na słabsze lub marginalizowane grupy społeczne oraz objęciu kształceniem i szkoleniami obszarów wiejskich i oddalonych. </w:t>
            </w:r>
          </w:p>
          <w:p w14:paraId="797F1824" w14:textId="77777777" w:rsidR="00F35DE4" w:rsidRPr="0088134C" w:rsidRDefault="00F35DE4" w:rsidP="001E56D0">
            <w:pPr>
              <w:pStyle w:val="Akapitzlist"/>
              <w:numPr>
                <w:ilvl w:val="0"/>
                <w:numId w:val="21"/>
              </w:numPr>
              <w:tabs>
                <w:tab w:val="clear" w:pos="0"/>
              </w:tabs>
              <w:spacing w:line="228" w:lineRule="auto"/>
              <w:ind w:left="142" w:hanging="142"/>
              <w:rPr>
                <w:sz w:val="20"/>
              </w:rPr>
            </w:pPr>
            <w:r w:rsidRPr="0088134C">
              <w:rPr>
                <w:sz w:val="20"/>
              </w:rPr>
              <w:t>Wzywa wszystkie poziomy sprawowania rządów do udostępnienia wystarczających zasobów finansowych i ludzkich oraz możliwości szkoleń oraz do zapewnienia przystępnej cenowo infrastruktury cyfrowej o dużej prędkości i</w:t>
            </w:r>
            <w:r w:rsidR="001E56D0">
              <w:rPr>
                <w:sz w:val="20"/>
              </w:rPr>
              <w:t> </w:t>
            </w:r>
            <w:r w:rsidRPr="0088134C">
              <w:rPr>
                <w:sz w:val="20"/>
              </w:rPr>
              <w:t>zagwarantowania, by była ona dostępna dla wszystkich. Wzywa do wyasygnowania środków finansowych w celu poprawy umiejętności cyfrowych obywateli i ich umiejętności korzystania z mediów za pomocą programów edukacyjnych i szkoleniowych prowadzonych w szkołach, a także skierowanych do pracowników i urzędników władz lokalnych i regionalnych. Zaleca, by władze lokalne i regionalne we wszystkich funduszach i programach priorytetowo traktowały wprowadzenie narzędzi cyfrowych.</w:t>
            </w:r>
          </w:p>
          <w:p w14:paraId="1BCE27EC" w14:textId="77777777" w:rsidR="00F35DE4" w:rsidRPr="0088134C" w:rsidRDefault="00F35DE4" w:rsidP="001E56D0">
            <w:pPr>
              <w:pStyle w:val="Akapitzlist"/>
              <w:numPr>
                <w:ilvl w:val="0"/>
                <w:numId w:val="21"/>
              </w:numPr>
              <w:tabs>
                <w:tab w:val="clear" w:pos="0"/>
              </w:tabs>
              <w:spacing w:line="228" w:lineRule="auto"/>
              <w:ind w:left="142" w:hanging="142"/>
              <w:rPr>
                <w:sz w:val="20"/>
              </w:rPr>
            </w:pPr>
            <w:r w:rsidRPr="0088134C">
              <w:rPr>
                <w:sz w:val="20"/>
              </w:rPr>
              <w:t>Oczekuje, że wprowadzanie różnych rozwiązań cyfrowych przez władze lokalne i regionalne, które może prowadzić do powstania znacznych, jednorazowych potrzeb inwestycyjnych, będzie częścią ogólnych rozważań na temat budżetu UE w kontekście transformacji cyfrowej.</w:t>
            </w:r>
          </w:p>
          <w:p w14:paraId="4EDE528A" w14:textId="77777777" w:rsidR="00F35DE4" w:rsidRPr="0088134C" w:rsidRDefault="00F35DE4" w:rsidP="001E56D0">
            <w:pPr>
              <w:pStyle w:val="Akapitzlist"/>
              <w:numPr>
                <w:ilvl w:val="0"/>
                <w:numId w:val="21"/>
              </w:numPr>
              <w:tabs>
                <w:tab w:val="clear" w:pos="0"/>
              </w:tabs>
              <w:spacing w:line="228" w:lineRule="auto"/>
              <w:ind w:left="142" w:hanging="142"/>
              <w:rPr>
                <w:sz w:val="20"/>
              </w:rPr>
            </w:pPr>
            <w:r w:rsidRPr="0088134C">
              <w:rPr>
                <w:sz w:val="20"/>
              </w:rPr>
              <w:t>Podziela obawy, że władze lokalne i regionalne w UE nie zawsze mają łatwy dostęp do narzędzi cyfrowych z</w:t>
            </w:r>
            <w:r w:rsidR="001E56D0">
              <w:rPr>
                <w:sz w:val="20"/>
              </w:rPr>
              <w:t> </w:t>
            </w:r>
            <w:r w:rsidRPr="0088134C">
              <w:rPr>
                <w:sz w:val="20"/>
              </w:rPr>
              <w:t>dziedziny technologii obywatelskiej, ponieważ są one często rozwijane jako platformy oferujące oprogramowanie jako usługę (SaaS) w ramach subskrypcji. Doradza w razie konieczności zmianę kryteriów kwalifikowalności, tak aby władze lokalne i regionalne mogły wprowadzać nowe rozwiązania i platformy cyfrowe w prostszy i bardziej oszczędny sposób, co obejmuje też dostęp do finansowania UE na rzecz platform SaaS.</w:t>
            </w:r>
          </w:p>
          <w:p w14:paraId="42114EC0" w14:textId="77777777" w:rsidR="00F35DE4" w:rsidRPr="0088134C" w:rsidRDefault="00F35DE4" w:rsidP="001E56D0">
            <w:pPr>
              <w:pStyle w:val="Akapitzlist"/>
              <w:numPr>
                <w:ilvl w:val="0"/>
                <w:numId w:val="21"/>
              </w:numPr>
              <w:tabs>
                <w:tab w:val="clear" w:pos="0"/>
              </w:tabs>
              <w:spacing w:line="228" w:lineRule="auto"/>
              <w:ind w:left="142" w:hanging="142"/>
              <w:rPr>
                <w:sz w:val="20"/>
              </w:rPr>
            </w:pPr>
            <w:r w:rsidRPr="0088134C">
              <w:rPr>
                <w:sz w:val="20"/>
              </w:rPr>
              <w:t>Proponuje, by KR opracował środki motywujące i nagradzające władze lokalne i regionalne, aby wzmocnić ich zaangażowanie na rzecz zasad otwartego i sprzyjającego włączeniu społecznemu sprawowania rządów. W ten sposób mogłoby powstać w przyszłości nowe kryterium jakości umożliwiające mierzenie poziomu demokracji w gminach oraz wymianę najlepszych praktyk.</w:t>
            </w:r>
          </w:p>
          <w:p w14:paraId="2D06F4B1" w14:textId="77777777" w:rsidR="00444A98" w:rsidRPr="001E56D0" w:rsidRDefault="00F35DE4" w:rsidP="001E56D0">
            <w:pPr>
              <w:pStyle w:val="Akapitzlist"/>
              <w:numPr>
                <w:ilvl w:val="0"/>
                <w:numId w:val="21"/>
              </w:numPr>
              <w:tabs>
                <w:tab w:val="clear" w:pos="0"/>
              </w:tabs>
              <w:spacing w:line="228" w:lineRule="auto"/>
              <w:ind w:left="142" w:hanging="142"/>
              <w:rPr>
                <w:bCs/>
                <w:iCs/>
                <w:color w:val="000000"/>
                <w:spacing w:val="-4"/>
              </w:rPr>
            </w:pPr>
            <w:r w:rsidRPr="001E56D0">
              <w:rPr>
                <w:spacing w:val="-4"/>
                <w:sz w:val="20"/>
              </w:rPr>
              <w:t>Powtarza apel o ścisłą współpracę i wymianę najlepszych praktyk między wszystkimi szczeblami sprawowania rządów z</w:t>
            </w:r>
            <w:r w:rsidR="001E56D0">
              <w:rPr>
                <w:spacing w:val="-4"/>
                <w:sz w:val="20"/>
              </w:rPr>
              <w:t> </w:t>
            </w:r>
            <w:r w:rsidRPr="001E56D0">
              <w:rPr>
                <w:spacing w:val="-4"/>
                <w:sz w:val="20"/>
              </w:rPr>
              <w:t>myślą o lepszym wykorzystaniu i dalszym wzmocnieniu cyfrowej transformacji miast i gmin. Z uznaniem patrzy na wiele przykładów lokalnych i regionalnych, które pokazują, jak narzędzia cyfrowe mogą służyć demokracji uczestniczącej.</w:t>
            </w:r>
          </w:p>
        </w:tc>
      </w:tr>
    </w:tbl>
    <w:p w14:paraId="56F7E4BE" w14:textId="77777777" w:rsidR="000D6A84" w:rsidRPr="001E56D0" w:rsidRDefault="000D6A84" w:rsidP="0088134C">
      <w:pPr>
        <w:spacing w:line="240" w:lineRule="auto"/>
        <w:rPr>
          <w:sz w:val="6"/>
        </w:rPr>
      </w:pPr>
    </w:p>
    <w:p w14:paraId="7F0F3D30" w14:textId="77777777" w:rsidR="00EC760A" w:rsidRPr="00406F7E" w:rsidRDefault="00EC760A" w:rsidP="00B47379">
      <w:pPr>
        <w:sectPr w:rsidR="00EC760A" w:rsidRPr="00406F7E" w:rsidSect="00C55797">
          <w:footerReference w:type="default" r:id="rId13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9"/>
      </w:tblGrid>
      <w:tr w:rsidR="00444A98" w:rsidRPr="00406F7E" w14:paraId="7AC57BF5" w14:textId="77777777" w:rsidTr="006D78CA">
        <w:trPr>
          <w:trHeight w:val="12474"/>
        </w:trPr>
        <w:tc>
          <w:tcPr>
            <w:tcW w:w="9289" w:type="dxa"/>
            <w:vAlign w:val="bottom"/>
          </w:tcPr>
          <w:p w14:paraId="06AB576C" w14:textId="77777777" w:rsidR="00591B92" w:rsidRPr="00591B92" w:rsidRDefault="00A44579" w:rsidP="00B47379">
            <w:pPr>
              <w:overflowPunct/>
              <w:adjustRightInd/>
              <w:jc w:val="left"/>
              <w:textAlignment w:val="auto"/>
              <w:rPr>
                <w:u w:val="single"/>
              </w:rPr>
            </w:pPr>
            <w:r>
              <w:rPr>
                <w:u w:val="single"/>
              </w:rPr>
              <w:lastRenderedPageBreak/>
              <w:t>Sprawozdawca</w:t>
            </w:r>
          </w:p>
          <w:p w14:paraId="76457CCF" w14:textId="77777777" w:rsidR="00A44579" w:rsidRPr="00A22AF8" w:rsidRDefault="00A44579" w:rsidP="00591B92">
            <w:pPr>
              <w:overflowPunct/>
              <w:adjustRightInd/>
              <w:jc w:val="left"/>
              <w:textAlignment w:val="auto"/>
            </w:pPr>
          </w:p>
          <w:p w14:paraId="62D20257" w14:textId="77777777" w:rsidR="00A44579" w:rsidRPr="00B47379" w:rsidRDefault="00A44579" w:rsidP="00B47379">
            <w:pPr>
              <w:rPr>
                <w:bCs/>
                <w:szCs w:val="22"/>
              </w:rPr>
            </w:pPr>
            <w:proofErr w:type="spellStart"/>
            <w:r w:rsidRPr="003666EC">
              <w:t>Rait</w:t>
            </w:r>
            <w:proofErr w:type="spellEnd"/>
            <w:r w:rsidRPr="003666EC">
              <w:t xml:space="preserve"> PIHELGAS</w:t>
            </w:r>
            <w:r>
              <w:t xml:space="preserve"> (EE/</w:t>
            </w:r>
            <w:proofErr w:type="spellStart"/>
            <w:r>
              <w:t>Renew</w:t>
            </w:r>
            <w:proofErr w:type="spellEnd"/>
            <w:r>
              <w:t xml:space="preserve"> Europe), przewodniczący Rady Gminy </w:t>
            </w:r>
            <w:proofErr w:type="spellStart"/>
            <w:r>
              <w:t>Järva</w:t>
            </w:r>
            <w:proofErr w:type="spellEnd"/>
          </w:p>
          <w:p w14:paraId="2DB0A83C" w14:textId="77777777" w:rsidR="00A44579" w:rsidRDefault="00A44579" w:rsidP="00B47379">
            <w:pPr>
              <w:rPr>
                <w:bCs/>
                <w:szCs w:val="22"/>
                <w:lang w:eastAsia="en-GB"/>
              </w:rPr>
            </w:pPr>
          </w:p>
          <w:p w14:paraId="6D32DD76" w14:textId="77777777" w:rsidR="003666EC" w:rsidRPr="00B47379" w:rsidRDefault="003666EC" w:rsidP="00B47379">
            <w:pPr>
              <w:rPr>
                <w:bCs/>
                <w:szCs w:val="22"/>
                <w:lang w:eastAsia="en-GB"/>
              </w:rPr>
            </w:pPr>
          </w:p>
          <w:p w14:paraId="5366E5A3" w14:textId="77777777" w:rsidR="00A44579" w:rsidRDefault="00A44579" w:rsidP="00B47379">
            <w:pPr>
              <w:rPr>
                <w:u w:val="single"/>
              </w:rPr>
            </w:pPr>
            <w:r>
              <w:rPr>
                <w:u w:val="single"/>
              </w:rPr>
              <w:t>Dokument źródłowy</w:t>
            </w:r>
          </w:p>
          <w:p w14:paraId="2D847C1A" w14:textId="77777777" w:rsidR="003666EC" w:rsidRPr="00A22AF8" w:rsidRDefault="003666EC" w:rsidP="00B47379"/>
          <w:p w14:paraId="4E99BBC6" w14:textId="77777777" w:rsidR="00444A98" w:rsidRPr="00406F7E" w:rsidRDefault="00444A98" w:rsidP="00A44579"/>
        </w:tc>
      </w:tr>
    </w:tbl>
    <w:p w14:paraId="05316ED4" w14:textId="77777777" w:rsidR="007C3120" w:rsidRDefault="007C3120" w:rsidP="003A043C">
      <w:pPr>
        <w:jc w:val="center"/>
      </w:pPr>
    </w:p>
    <w:p w14:paraId="54756234" w14:textId="77777777" w:rsidR="00444A98" w:rsidRPr="00406F7E" w:rsidRDefault="00444A98" w:rsidP="003A043C">
      <w:pPr>
        <w:jc w:val="center"/>
      </w:pPr>
      <w:r>
        <w:br w:type="page"/>
      </w:r>
      <w:r>
        <w:rPr>
          <w:b/>
        </w:rPr>
        <w:lastRenderedPageBreak/>
        <w:t>Opinia Europejskiego Komitetu Regionów –</w:t>
      </w:r>
      <w:r w:rsidR="003666EC">
        <w:rPr>
          <w:b/>
        </w:rPr>
        <w:t xml:space="preserve"> </w:t>
      </w:r>
      <w:r>
        <w:rPr>
          <w:b/>
        </w:rPr>
        <w:t>Wzmocnienie sprawowania władzy na szczeblu lokalnym i demokracji przedstawicielskiej dzięki nowym instrumentom technologii cyfrowej</w:t>
      </w:r>
    </w:p>
    <w:p w14:paraId="36453EA8" w14:textId="77777777" w:rsidR="003A043C" w:rsidRPr="00406F7E" w:rsidRDefault="003A043C" w:rsidP="003A043C"/>
    <w:p w14:paraId="19817DBD" w14:textId="77777777" w:rsidR="00444A98" w:rsidRPr="00406F7E" w:rsidRDefault="00444A98" w:rsidP="003E420C">
      <w:pPr>
        <w:keepNext/>
        <w:numPr>
          <w:ilvl w:val="0"/>
          <w:numId w:val="13"/>
        </w:numPr>
        <w:ind w:left="567" w:hanging="567"/>
        <w:rPr>
          <w:b/>
        </w:rPr>
      </w:pPr>
      <w:r>
        <w:rPr>
          <w:b/>
        </w:rPr>
        <w:t>ZALECENIA POLITYCZNE</w:t>
      </w:r>
    </w:p>
    <w:p w14:paraId="17C172CF" w14:textId="77777777" w:rsidR="00444A98" w:rsidRPr="00406F7E" w:rsidRDefault="00444A98" w:rsidP="003E420C">
      <w:pPr>
        <w:keepNext/>
      </w:pPr>
    </w:p>
    <w:p w14:paraId="735E3D0C" w14:textId="77777777" w:rsidR="00444A98" w:rsidRDefault="00444A98" w:rsidP="003E420C">
      <w:pPr>
        <w:keepNext/>
      </w:pPr>
      <w:r>
        <w:t>EUROPEJSKI KOMITET REGIONÓW</w:t>
      </w:r>
    </w:p>
    <w:p w14:paraId="0158EB00" w14:textId="77777777" w:rsidR="00D025D3" w:rsidRDefault="00D025D3" w:rsidP="003E420C">
      <w:pPr>
        <w:keepNext/>
      </w:pPr>
    </w:p>
    <w:p w14:paraId="4B3C195E" w14:textId="77777777" w:rsidR="00415498" w:rsidRPr="0007183B" w:rsidRDefault="00594020" w:rsidP="00415498">
      <w:pPr>
        <w:pStyle w:val="Nagwek1"/>
        <w:ind w:left="567" w:hanging="567"/>
      </w:pPr>
      <w:r>
        <w:t>Dostrzega, że państwa i władze publiczne na wszystkich szczeblach stoją w obliczu coraz bardziej złożonych i bezprecedensowych wyzwań, sięgających od globalizacji, rozwoju gospodarczego i wpływu technologii, przez zmianę klimatu i zmiany demograficzne, do bezpieczeństwa, dezinformacji, zdrowia i radykalizacji.</w:t>
      </w:r>
    </w:p>
    <w:p w14:paraId="5BA61818" w14:textId="77777777" w:rsidR="00415498" w:rsidRPr="00406F7E" w:rsidRDefault="00415498" w:rsidP="00415498"/>
    <w:p w14:paraId="0DF73A12" w14:textId="77777777" w:rsidR="00415498" w:rsidRPr="00406F7E" w:rsidRDefault="00594020" w:rsidP="00415498">
      <w:pPr>
        <w:pStyle w:val="Nagwek1"/>
        <w:ind w:left="567" w:hanging="567"/>
        <w:rPr>
          <w:bCs/>
          <w:iCs/>
        </w:rPr>
      </w:pPr>
      <w:r>
        <w:t xml:space="preserve">Przyjmuje z zadowoleniem polityczny priorytet Komisji Europejskiej dotyczący stworzenia „Europy na miarę ery cyfrowej” oraz wezwanie przewodniczącej Komisji Ursuli von der </w:t>
      </w:r>
      <w:proofErr w:type="spellStart"/>
      <w:r>
        <w:t>Leyen</w:t>
      </w:r>
      <w:proofErr w:type="spellEnd"/>
      <w:r>
        <w:t xml:space="preserve"> do wspierania przejścia do świata cyfrowego opartego na europejskich mocnych stronach i</w:t>
      </w:r>
      <w:r w:rsidR="003666EC">
        <w:t> </w:t>
      </w:r>
      <w:r>
        <w:t>wartościach. Popiera polityczny priorytet dotyczący „Nowego impulsu dla demokracji europejskiej” i z zadowoleniem przyjmuje zobowiązanie przewodniczącej Komisji do promowania większego uczestnictwa demokratycznego i przejrzystości w procesie podejmowania decyzji w UE.</w:t>
      </w:r>
    </w:p>
    <w:p w14:paraId="607B86D9" w14:textId="77777777" w:rsidR="00D025D3" w:rsidRPr="00406F7E" w:rsidRDefault="00D025D3" w:rsidP="00415498"/>
    <w:p w14:paraId="7DF12984" w14:textId="77777777" w:rsidR="00415498" w:rsidRPr="00065AD8" w:rsidRDefault="00EF335F" w:rsidP="00415498">
      <w:pPr>
        <w:pStyle w:val="Nagwek1"/>
        <w:ind w:left="567" w:hanging="567"/>
        <w:rPr>
          <w:bCs/>
          <w:iCs/>
        </w:rPr>
      </w:pPr>
      <w:r>
        <w:t>Przyjmuje z zadowoleniem zobowiązanie Komisji Europejskiej do wspierania transformacji ekologicznej i cyfrowej, co zostało odzwierciedlone w nowym wniosku dotyczącym wieloletnich ram finansowych na lata 2021–2027, a także przydzielenie 8,2 mld EUR na program „Cyfrowa Europa”</w:t>
      </w:r>
      <w:r w:rsidR="00415498" w:rsidRPr="00B47379">
        <w:rPr>
          <w:bCs/>
          <w:iCs/>
          <w:sz w:val="24"/>
          <w:szCs w:val="24"/>
          <w:vertAlign w:val="superscript"/>
        </w:rPr>
        <w:footnoteReference w:id="1"/>
      </w:r>
      <w:r>
        <w:t>.</w:t>
      </w:r>
    </w:p>
    <w:p w14:paraId="27D2A25E" w14:textId="77777777" w:rsidR="00D025D3" w:rsidRPr="00406F7E" w:rsidRDefault="00D025D3" w:rsidP="00415498"/>
    <w:p w14:paraId="56ABBBE6" w14:textId="77777777" w:rsidR="00415498" w:rsidRPr="00406F7E" w:rsidRDefault="00594020" w:rsidP="00415498">
      <w:pPr>
        <w:pStyle w:val="Nagwek1"/>
        <w:ind w:left="567" w:hanging="567"/>
      </w:pPr>
      <w:r>
        <w:t>Popiera propozycję przedstawioną przez Parlament Europejski w przyjętym 15 stycznia 2020 r. stanowisku dotyczącym konferencji w sprawie przyszłości Europy, by uwzględnić transformację cyfrową wśród priorytetów politycznych konferencji. Zgadza się ze zdaniem Parlamentu, że udział obywateli w tej konferencji oraz konsultacje „powinny być organizowane z wykorzystaniem najbardziej skutecznych, innowacyjnych i odpowiednich platform, obejmujących narzędzia internetowe, [...] tak aby każdy obywatel mógł zabrać głos podczas prac konferencji”. Podkreśla, że podczas konferencji należałoby zbadać możliwość nawiązania zorganizowanego i stałego dialogu z obywatelami na temat kwestii związanych z UE, który będzie musiał w znacznej mierze opierać się na narzędziach cyfrowych i innowacyjnych procesach, zwłaszcza ze względu na ograniczenia wynikające z pandemii COVID-19.</w:t>
      </w:r>
    </w:p>
    <w:p w14:paraId="155458E6" w14:textId="77777777" w:rsidR="00415498" w:rsidRPr="00406F7E" w:rsidRDefault="00415498" w:rsidP="00415498"/>
    <w:p w14:paraId="5FE32A12" w14:textId="77777777" w:rsidR="00415498" w:rsidRPr="00406F7E" w:rsidRDefault="00594020" w:rsidP="00B47379">
      <w:pPr>
        <w:pStyle w:val="Nagwek1"/>
        <w:keepNext/>
        <w:ind w:left="567" w:hanging="567"/>
      </w:pPr>
      <w:r>
        <w:t>Przywołuje istotne w tym kontekście stanowisko, jakie zajął we wcześniejszych opiniach:</w:t>
      </w:r>
    </w:p>
    <w:p w14:paraId="28D1EF6C" w14:textId="77777777" w:rsidR="00415498" w:rsidRPr="00406F7E" w:rsidRDefault="00415498" w:rsidP="00B47379">
      <w:pPr>
        <w:keepNext/>
      </w:pPr>
    </w:p>
    <w:p w14:paraId="18DAD7E1" w14:textId="77777777" w:rsidR="00415498" w:rsidRPr="00406F7E" w:rsidRDefault="00415498" w:rsidP="00DB42AB">
      <w:pPr>
        <w:pStyle w:val="Nagwek1"/>
        <w:numPr>
          <w:ilvl w:val="0"/>
          <w:numId w:val="18"/>
        </w:numPr>
        <w:ind w:left="851" w:hanging="284"/>
        <w:rPr>
          <w:bCs/>
        </w:rPr>
      </w:pPr>
      <w:r>
        <w:t>Opinia „Wspieranie innowacji w sektorze publicznym za pośrednictwem rozwiązań cyfrowych: perspektywa lokalna i regionalna”, przyjęta na sesji plenarnej KR-u w dniu 30</w:t>
      </w:r>
      <w:r w:rsidR="003666EC">
        <w:t> </w:t>
      </w:r>
      <w:r>
        <w:t>listopada 2017 r.</w:t>
      </w:r>
      <w:r w:rsidRPr="00B47379">
        <w:rPr>
          <w:sz w:val="24"/>
          <w:szCs w:val="24"/>
          <w:vertAlign w:val="superscript"/>
        </w:rPr>
        <w:footnoteReference w:id="2"/>
      </w:r>
      <w:r>
        <w:t xml:space="preserve"> KR postrzega cyfryzację administracji jako sposób na zapewnienie lepszych usług dla obywateli i podkreśla, że władze lokalne i regionalne muszą odgrywać </w:t>
      </w:r>
      <w:r>
        <w:lastRenderedPageBreak/>
        <w:t>ważną rolę w modernizacji sektora publicznego. Wzywa sektor publiczny do działań na rzecz innowacji ukierunkowanych na potrzeby użytkowników i bazujących na zasadzie swobodnego dostępu do usług cyfrowych dla wszystkich obywateli i przedsiębiorstw. Podkreśla także potrzebę współpracy i wymiany dobrych praktyk między administracjami i</w:t>
      </w:r>
      <w:r w:rsidR="003666EC">
        <w:t> </w:t>
      </w:r>
      <w:r>
        <w:t>ponad granicami.</w:t>
      </w:r>
    </w:p>
    <w:p w14:paraId="1E989DD2" w14:textId="77777777" w:rsidR="00415498" w:rsidRPr="00406F7E" w:rsidRDefault="00415498" w:rsidP="00145598">
      <w:pPr>
        <w:pStyle w:val="Nagwek1"/>
        <w:numPr>
          <w:ilvl w:val="0"/>
          <w:numId w:val="0"/>
        </w:numPr>
        <w:rPr>
          <w:bCs/>
        </w:rPr>
      </w:pPr>
    </w:p>
    <w:p w14:paraId="5FEB34EA" w14:textId="77777777" w:rsidR="00415498" w:rsidRPr="00406F7E" w:rsidRDefault="00415498" w:rsidP="00DB42AB">
      <w:pPr>
        <w:pStyle w:val="Nagwek1"/>
        <w:numPr>
          <w:ilvl w:val="0"/>
          <w:numId w:val="18"/>
        </w:numPr>
        <w:ind w:left="851" w:hanging="284"/>
      </w:pPr>
      <w:r>
        <w:t>Opinia „Plan działania UE na rzecz administracji elektronicznej na lata 2016–2020”</w:t>
      </w:r>
      <w:r w:rsidRPr="00406F7E">
        <w:rPr>
          <w:sz w:val="24"/>
          <w:szCs w:val="24"/>
          <w:vertAlign w:val="superscript"/>
          <w:lang w:bidi="en-GB"/>
        </w:rPr>
        <w:footnoteReference w:id="3"/>
      </w:r>
      <w:r>
        <w:t>, przyjęta na sesji plenarnej KR-u w dniu 11 października 2016 r. KR z zadowoleniem przyjmuje zasadę przewidującą domyślną cyfrowość świadczenia usług przez administracje publiczne, dlatego podkreśla, że należy podejmować długofalowe wysiłki z myślą o jeszcze szerszym włączeniu cyfrowym, tak aby więcej osób miało dostęp do infrastruktury, nabyło niezbędne kompetencje oraz mogło korzystać z możliwości, jakie daje cyfryzacja. Podkreśla znaczenie przejrzystej administracji zapewniającej otwarty i bezpieczny dostęp do danych i</w:t>
      </w:r>
      <w:r w:rsidR="003666EC">
        <w:t> </w:t>
      </w:r>
      <w:r>
        <w:t xml:space="preserve">usług, gdyż jest to ważne z punktu widzenia większej przejrzystości i skuteczności. Jednocześnie zwraca uwagę, że niektóre rodzaje informacji i danych osobowych wymagają wysokiego poziomu ochrony. Podkreśla ponadto swe poparcie dla zasady domyślnej </w:t>
      </w:r>
      <w:proofErr w:type="spellStart"/>
      <w:r>
        <w:t>transgraniczności</w:t>
      </w:r>
      <w:proofErr w:type="spellEnd"/>
      <w:r>
        <w:t xml:space="preserve"> usług administracji elektronicznej świadczonych przez administracje publiczne i podkreśla, że władze lokalne i regionalne, przeważnie w regionach przygranicznych, mogą odgrywać decydującą rolę w określaniu i rozwijaniu usług transgranicznych, które są odpowiednie, skuteczne i bezproblemowe.</w:t>
      </w:r>
    </w:p>
    <w:p w14:paraId="5D59D49D" w14:textId="77777777" w:rsidR="00415498" w:rsidRPr="00406F7E" w:rsidRDefault="00415498" w:rsidP="00145598">
      <w:pPr>
        <w:pStyle w:val="Nagwek1"/>
        <w:numPr>
          <w:ilvl w:val="0"/>
          <w:numId w:val="0"/>
        </w:numPr>
        <w:rPr>
          <w:bCs/>
          <w:lang w:bidi="en-GB"/>
        </w:rPr>
      </w:pPr>
    </w:p>
    <w:p w14:paraId="5A3E828B" w14:textId="77777777" w:rsidR="00415498" w:rsidRPr="00406F7E" w:rsidRDefault="00415498" w:rsidP="00DB42AB">
      <w:pPr>
        <w:pStyle w:val="Nagwek1"/>
        <w:numPr>
          <w:ilvl w:val="0"/>
          <w:numId w:val="18"/>
        </w:numPr>
        <w:ind w:left="851" w:hanging="284"/>
        <w:rPr>
          <w:bCs/>
        </w:rPr>
      </w:pPr>
      <w:r>
        <w:t>Opinia „Nowy europejski program na rzecz umiejętności”</w:t>
      </w:r>
      <w:r w:rsidRPr="00406F7E">
        <w:rPr>
          <w:sz w:val="24"/>
          <w:szCs w:val="24"/>
          <w:vertAlign w:val="superscript"/>
          <w:lang w:bidi="en-GB"/>
        </w:rPr>
        <w:footnoteReference w:id="4"/>
      </w:r>
      <w:r>
        <w:t>, przyjęta na sesji plenarnej KR-u w dniu 7 grudnia 2016 r. KR wzywa do inwestowania w umiejętności cyfrowe i ich nauczanie oraz postrzega cyfryzację jako środek pozwalający stawić czoła wielu wyzwaniom stojącym przed szkołami.</w:t>
      </w:r>
    </w:p>
    <w:p w14:paraId="2B2303D6" w14:textId="77777777" w:rsidR="00D025D3" w:rsidRPr="00406F7E" w:rsidRDefault="00D025D3" w:rsidP="00415498">
      <w:pPr>
        <w:rPr>
          <w:lang w:bidi="en-GB"/>
        </w:rPr>
      </w:pPr>
    </w:p>
    <w:p w14:paraId="7956ED73" w14:textId="77777777" w:rsidR="00415498" w:rsidRPr="0007183B" w:rsidRDefault="006F06DD" w:rsidP="00415498">
      <w:pPr>
        <w:pStyle w:val="Nagwek1"/>
        <w:ind w:left="567" w:hanging="567"/>
      </w:pPr>
      <w:r>
        <w:t xml:space="preserve">Podkreśla, że transformacja cyfrowa nie musi być napędzana technologią, lecz raczej że zmiany muszą uwzględniać potrzeby i oczekiwania obywateli, w odniesieniu do których trzeba znaleźć najbardziej przejrzyste, </w:t>
      </w:r>
      <w:proofErr w:type="spellStart"/>
      <w:r>
        <w:t>inkluzywne</w:t>
      </w:r>
      <w:proofErr w:type="spellEnd"/>
      <w:r>
        <w:t>, przyjazne dla użytkownika, najbezpieczniejsze i</w:t>
      </w:r>
      <w:r w:rsidR="003666EC">
        <w:t> </w:t>
      </w:r>
      <w:r>
        <w:t>najbardziej opłacalne rozwiązania. Oznacza to, że nowe wyzwania pociągają za sobą również zmiany na szczeblu lokalnym i regionalnym, których wdrożenie zależy przede wszystkim od zdolności do określenia tych potrzeb oraz od gotowości do wprowadzenia najstosowniejszych zmian. W nowoczesnym systemie demokratycznym nie wystarczy jedynie regularnie korzystać z demokracji przedstawicielskiej: członkowie społeczności, grupy interesów i organizacje muszą być nieustannie angażowani. Włączenie i uczestnictwo prowadzą do lepszych decyzji oraz wzmacniają demokrację, poczucie przynależności do wspólnoty i gotowość do wniesienia własnego wkładu w rozwój regionu.</w:t>
      </w:r>
    </w:p>
    <w:p w14:paraId="16E04446" w14:textId="77777777" w:rsidR="00415498" w:rsidRPr="00406F7E" w:rsidRDefault="00415498" w:rsidP="00415498"/>
    <w:p w14:paraId="34A7EFB2" w14:textId="77777777" w:rsidR="00415498" w:rsidRPr="0007183B" w:rsidRDefault="00C65712" w:rsidP="003666EC">
      <w:pPr>
        <w:pStyle w:val="Nagwek1"/>
        <w:keepNext/>
        <w:keepLines/>
        <w:ind w:left="567" w:hanging="567"/>
      </w:pPr>
      <w:r>
        <w:lastRenderedPageBreak/>
        <w:t>Zwraca uwagę, że zmieniają się znacznie tradycyjne stosunki między obywatelami a</w:t>
      </w:r>
      <w:r w:rsidR="003666EC">
        <w:t> </w:t>
      </w:r>
      <w:r>
        <w:t>politykami, lecz jednocześnie pojawia się nowa cyfrowa scena polityczna. W ramach tej sceny nowe technologie cyfrowe mogą ułatwiać znajdowanie nowych rozwiązań i możliwości reagowania na wyzwania, wspieranie innowacji i wzrostu gospodarczego, poprawę jakości usług publicznych, zwiększenie na nowe sposoby udziału obywateli, poprawę sprawowania władzy na szczeblu lokalnym oraz uzupełnienie i wzmocnienie demokracji.</w:t>
      </w:r>
    </w:p>
    <w:p w14:paraId="29A35755" w14:textId="77777777" w:rsidR="00D025D3" w:rsidRPr="00406F7E" w:rsidRDefault="00D025D3" w:rsidP="00415498"/>
    <w:p w14:paraId="7A5A1F48" w14:textId="77777777" w:rsidR="00415498" w:rsidRPr="00406F7E" w:rsidRDefault="00C65712" w:rsidP="00415498">
      <w:pPr>
        <w:pStyle w:val="Nagwek1"/>
        <w:ind w:left="567" w:hanging="567"/>
      </w:pPr>
      <w:r>
        <w:t>Uważa, że procesy demokratyczne powinny ewoluować, dostosowywać się do zmian i</w:t>
      </w:r>
      <w:r w:rsidR="003666EC">
        <w:t> </w:t>
      </w:r>
      <w:r>
        <w:t>wykorzystywać możliwości oferowane przez nowe technologie cyfrowe i narzędzia ICT, ponieważ mogą one poprawić jakość procesu decyzyjnego, promować uczestnictwo, komunikację i dialog, sprzyjać aktywności obywatelskiej i zaangażowaniu w życie polityczne, zwiększyć przejrzystość i rozliczalność oraz wzmocnić legitymację naszego systemu demokratycznego.</w:t>
      </w:r>
    </w:p>
    <w:p w14:paraId="6E6F1154" w14:textId="77777777" w:rsidR="00415498" w:rsidRPr="00406F7E" w:rsidRDefault="00415498" w:rsidP="00415498"/>
    <w:p w14:paraId="35F8AD3E" w14:textId="77777777" w:rsidR="00415498" w:rsidRDefault="006F06DD" w:rsidP="00415498">
      <w:pPr>
        <w:pStyle w:val="Nagwek1"/>
        <w:ind w:left="567" w:hanging="567"/>
      </w:pPr>
      <w:r>
        <w:t>Postrzega wdrożenie e-rozwiązań w ramach władz lokalnych i regionalnych jako doskonałą okazję do skutecznego świadczenia obywatelom wysokiej jakości usług publicznych. Już samo wypełnianie formularzy elektronicznych pozwoli obywatelom i organom publicznym zaoszczędzić czas, dzięki czemu pracownicy administracji mogą poświęcić więcej czasu na inne zadania administracyjne. Ponadto różne aplikacje elektroniczne umożliwiają członkom społeczności udział w procesie podejmowania decyzji oraz monitorowanie działalności ich samorządu w czasie rzeczywistym.</w:t>
      </w:r>
    </w:p>
    <w:p w14:paraId="201AE264" w14:textId="77777777" w:rsidR="008C4290" w:rsidRPr="008C4290" w:rsidRDefault="008C4290" w:rsidP="008C4290"/>
    <w:p w14:paraId="426BD904" w14:textId="77777777" w:rsidR="00415498" w:rsidRPr="00406F7E" w:rsidRDefault="00084F5C" w:rsidP="00415498">
      <w:pPr>
        <w:pStyle w:val="Nagwek1"/>
        <w:ind w:left="567" w:hanging="567"/>
      </w:pPr>
      <w:r>
        <w:t>Uważa, że jednostki samorządu lokalnego i regionalnego to z natury rzeczy najlepszy poziom do przeprowadzenia transformacji cyfrowej. Powtarza, że stosowanie nowych technologii cyfrowych otwiera nowe możliwości konsultacji i udziału i umożliwia udostępnianie wysokiej jakości informacji, analizę reakcji opinii publicznej, docieranie do odległych terenów oraz obywateli w najtrudniejszej sytuacji, wykorzystywanie umiejętności, wiedzy i know-how obywateli oraz kształtowanie wspólnie z nimi polityki, która odpowiada ich potrzebom i</w:t>
      </w:r>
      <w:r w:rsidR="003666EC">
        <w:t> </w:t>
      </w:r>
      <w:r>
        <w:t>oczekiwaniom.</w:t>
      </w:r>
    </w:p>
    <w:p w14:paraId="3E713B41" w14:textId="77777777" w:rsidR="00D025D3" w:rsidRPr="00406F7E" w:rsidRDefault="00D025D3" w:rsidP="00415498"/>
    <w:p w14:paraId="18FB0D6C" w14:textId="77777777" w:rsidR="00415498" w:rsidRPr="00536F3A" w:rsidRDefault="00084F5C" w:rsidP="00415498">
      <w:pPr>
        <w:pStyle w:val="Nagwek1"/>
        <w:ind w:left="567" w:hanging="567"/>
      </w:pPr>
      <w:r>
        <w:t>Zachęca władze lokalne i regionalne do przeprowadzenia transformacji cyfrowej i</w:t>
      </w:r>
      <w:r w:rsidR="003666EC">
        <w:t> </w:t>
      </w:r>
      <w:r>
        <w:t xml:space="preserve">wykorzystania w pełni potencjału technologii cyfrowych, by jeszcze bardziej ułatwić obywatelom uczestnictwo w procesie kształtowania polityki i podejmowania decyzji. W tym celu należy wykorzystywać nowe technologie cyfrowe, poprawić przejrzystość i </w:t>
      </w:r>
      <w:proofErr w:type="spellStart"/>
      <w:r>
        <w:t>inkluzywność</w:t>
      </w:r>
      <w:proofErr w:type="spellEnd"/>
      <w:r>
        <w:t xml:space="preserve"> procesu decyzyjnego oraz zdolność reagowania w jego ramach, a także budować zaufanie i</w:t>
      </w:r>
      <w:r w:rsidR="003666EC">
        <w:t> </w:t>
      </w:r>
      <w:r>
        <w:t>dialog niezbędne do dobrego zarządzania. Musi temu koniecznie towarzyszyć nauczanie umiejętności cyfrowych.</w:t>
      </w:r>
    </w:p>
    <w:p w14:paraId="723EB5C8" w14:textId="77777777" w:rsidR="00415498" w:rsidRPr="00406F7E" w:rsidRDefault="00415498" w:rsidP="00415498"/>
    <w:p w14:paraId="6AD0B9C8" w14:textId="77777777" w:rsidR="00415498" w:rsidRPr="00406F7E" w:rsidRDefault="00084F5C" w:rsidP="00415498">
      <w:pPr>
        <w:pStyle w:val="Nagwek1"/>
        <w:ind w:left="567" w:hanging="567"/>
      </w:pPr>
      <w:r>
        <w:t>Podkreśla, jak ważne jest, by w procesie podejmowania decyzji uwzględniać wkład obywateli i</w:t>
      </w:r>
      <w:r w:rsidR="003666EC">
        <w:t> </w:t>
      </w:r>
      <w:r>
        <w:t>zapewnić działania następcze w związku z tym wkładem. Zwraca uwagę, że brak reakcji ze strony decydentów prowadzi do rozczarowania i braku zaufania oraz że zaufanie obywateli do władz ma podstawowe znaczenie dla funkcjonowania demokracji lokalnej.</w:t>
      </w:r>
    </w:p>
    <w:p w14:paraId="64741EDF" w14:textId="77777777" w:rsidR="00415498" w:rsidRPr="00406F7E" w:rsidRDefault="00415498" w:rsidP="00415498"/>
    <w:p w14:paraId="55D13C88" w14:textId="77777777" w:rsidR="00415498" w:rsidRDefault="00684BEC" w:rsidP="003666EC">
      <w:pPr>
        <w:pStyle w:val="Nagwek1"/>
        <w:keepNext/>
        <w:keepLines/>
        <w:ind w:left="567" w:hanging="567"/>
      </w:pPr>
      <w:r>
        <w:lastRenderedPageBreak/>
        <w:t>Akcentuje, że udział obywateli powinien opierać się na skutecznym i niedyskryminacyjnym dostępie do informacji i wiedzy. Zwraca uwagę na konieczność zmniejszenia przepaści cyfrowej i wzmocnienia pozycji obywateli dzięki kształceniu i szkoleniu. Obejmuje to nauczanie umiejętności cyfrowych i umiejętności korzystania z mediów, przy priorytetowym traktowaniu cyfrowych programów szkoleniowych dla wszystkich grup wiekowych, ze szczególnym uwzględnieniem osób starszych i innych słabszych lub marginalizowanych grup społecznych, oraz objęciu kształceniem i szkoleniami o</w:t>
      </w:r>
      <w:r w:rsidR="003666EC">
        <w:t>bszarów wiejskich i oddalonych.</w:t>
      </w:r>
    </w:p>
    <w:p w14:paraId="570C2058" w14:textId="77777777" w:rsidR="003666EC" w:rsidRPr="003666EC" w:rsidRDefault="003666EC" w:rsidP="003666EC"/>
    <w:p w14:paraId="0741C23D" w14:textId="77777777" w:rsidR="00415498" w:rsidRPr="00406F7E" w:rsidRDefault="00BC3F85" w:rsidP="00415498">
      <w:pPr>
        <w:pStyle w:val="Nagwek1"/>
        <w:ind w:left="567" w:hanging="567"/>
      </w:pPr>
      <w:r>
        <w:t>Podkreśla konieczność angażowania młodych ludzi w życie publiczne. Zwraca uwagę, że nowe pokolenie cyfrowe posiada niezbędne umiejętności zarówno w zakresie technologii, jak i</w:t>
      </w:r>
      <w:r w:rsidR="003666EC">
        <w:t> </w:t>
      </w:r>
      <w:r>
        <w:t>korzystania z mediów. Uważa, że wykorzystywanie nowych technologii cyfrowych w</w:t>
      </w:r>
      <w:r w:rsidR="003666EC">
        <w:t> </w:t>
      </w:r>
      <w:r>
        <w:t>procesach politycznych i decyzyjnych może być skutecznym narzędziem zwiększania zaangażowania i uczestnictwa młodych ludzi.</w:t>
      </w:r>
    </w:p>
    <w:p w14:paraId="00C551B7" w14:textId="77777777" w:rsidR="00D025D3" w:rsidRPr="00406F7E" w:rsidRDefault="00D025D3" w:rsidP="00415498"/>
    <w:p w14:paraId="2CDC8BC2" w14:textId="77777777" w:rsidR="00415498" w:rsidRPr="00406F7E" w:rsidRDefault="00BC3F85" w:rsidP="00415498">
      <w:pPr>
        <w:pStyle w:val="Nagwek1"/>
        <w:ind w:left="567" w:hanging="567"/>
      </w:pPr>
      <w:r>
        <w:t xml:space="preserve">Zwraca uwagę na </w:t>
      </w:r>
      <w:proofErr w:type="spellStart"/>
      <w:r>
        <w:t>zasobochłonność</w:t>
      </w:r>
      <w:proofErr w:type="spellEnd"/>
      <w:r>
        <w:t xml:space="preserve"> transformacji cyfrowej. Wzywa wszystkie poziomy sprawowania rządów do udostępnienia na potrzeby tej transformacji wystarczających zasobów finansowych i ludzkich oraz możliwości szkoleń oraz do zapewnienia przystępnej cenowo infrastruktury cyfrowej o dużej prędkości, w szczególności na obszarach peryferyjnych, wiejskich i słabiej rozwiniętych pod względem gospodarczym, a także do zagwarantowania, by infrastruktura ta była dostępna dla wszystkich, w tym osób z niepełnosprawnością i osób starszych. Przypomina, że „pojęcie »spójności cyfrowej« to ważny dodatkowy wymiar tradycyjnego pojęcia »spójności gospodarczej, społecznej i terytorialnej« określonej w</w:t>
      </w:r>
      <w:r w:rsidR="003666EC">
        <w:t> </w:t>
      </w:r>
      <w:r>
        <w:t>Traktacie UE”</w:t>
      </w:r>
      <w:r w:rsidR="00BF0341" w:rsidRPr="00BD685B">
        <w:rPr>
          <w:rStyle w:val="Odwoanieprzypisudolnego"/>
          <w:bCs/>
          <w:iCs/>
          <w:szCs w:val="22"/>
        </w:rPr>
        <w:footnoteReference w:id="5"/>
      </w:r>
      <w:r>
        <w:t>.</w:t>
      </w:r>
    </w:p>
    <w:p w14:paraId="23EA66C0" w14:textId="77777777" w:rsidR="00D025D3" w:rsidRPr="00406F7E" w:rsidRDefault="00D025D3" w:rsidP="00415498"/>
    <w:p w14:paraId="7274877C" w14:textId="77777777" w:rsidR="00415498" w:rsidRPr="0007183B" w:rsidRDefault="00BC3F85" w:rsidP="00415498">
      <w:pPr>
        <w:pStyle w:val="Nagwek1"/>
        <w:ind w:left="567" w:hanging="567"/>
      </w:pPr>
      <w:r>
        <w:t>Podkreśla, że korzystanie z technologii cyfrowej wymaga korzystania z danych, które jest możliwe dzięki gromadzeniu i generowaniu danych. Wzywa w tym kontekście do poszanowania prawa do prywatności i ochrony danych, do wykorzystywania tylko minimum danych osobowych istotnych i niezbędnych w kontekście założonego celu oraz do promowania ochrony i bezpieczeństwa odnośnie do środowiska internetowego i usług cyfrowych. Aby zapobiec nieufności i niezadowoleniu ze strony obywateli, należy ich odpowiednio informować o tym, co dzieje się z ich danymi, oraz o podjętych odpowiednich środkach bezpieczeństwa i</w:t>
      </w:r>
      <w:r w:rsidR="003666EC">
        <w:t> </w:t>
      </w:r>
      <w:r>
        <w:t>skutecznych środkach odwoławczych w razie pogwałcenia tych praw, w tym o solidnych europejskich ramach prawnych. Podkreśla w związku z tym potrzebę zastosowania sztucznej inteligencji w taki sposób, by nadal koncentrowała się na człowieku i była wykorzystywana w</w:t>
      </w:r>
      <w:r w:rsidR="003666EC">
        <w:t> </w:t>
      </w:r>
      <w:r>
        <w:t>sposób sprzyjający inteligentnemu obywatelstwu i otwartym rządom, a tym samym wzmacniała demokrację.</w:t>
      </w:r>
    </w:p>
    <w:p w14:paraId="7B7E9D49" w14:textId="77777777" w:rsidR="00D025D3" w:rsidRPr="00406F7E" w:rsidRDefault="00D025D3" w:rsidP="00BD7287"/>
    <w:p w14:paraId="4364FE11" w14:textId="77777777" w:rsidR="00415498" w:rsidRPr="0007183B" w:rsidRDefault="00BC3F85" w:rsidP="003666EC">
      <w:pPr>
        <w:pStyle w:val="Nagwek1"/>
        <w:keepNext/>
        <w:keepLines/>
        <w:ind w:left="567" w:hanging="567"/>
      </w:pPr>
      <w:r>
        <w:lastRenderedPageBreak/>
        <w:t>Ostrzega, że platformy mediów społecznościowych ułatwiają rozpowszechnianie dezinformacji, informacji wprowadzających w błąd i mowy nienawiści, które mogą podważać demokrację i</w:t>
      </w:r>
      <w:r w:rsidR="003666EC">
        <w:t> </w:t>
      </w:r>
      <w:r>
        <w:t>zaufanie do instytucji publicznych. Domaga się silniejszego zaangażowania w nauczanie umiejętności korzystania z mediów i zachęca lokalnych decydentów do korzystania z</w:t>
      </w:r>
      <w:r w:rsidR="003666EC">
        <w:t> </w:t>
      </w:r>
      <w:r>
        <w:t xml:space="preserve">istniejących narzędzi cyfrowych, platform internetowych i mediów w celu komunikowania się z obywatelami i angażowania się w pozytywny dialog z nimi i innymi zainteresowanymi stronami. </w:t>
      </w:r>
    </w:p>
    <w:p w14:paraId="1473B875" w14:textId="77777777" w:rsidR="00D025D3" w:rsidRPr="00406F7E" w:rsidRDefault="00D025D3" w:rsidP="00BD7287"/>
    <w:p w14:paraId="367811A8" w14:textId="77777777" w:rsidR="00415498" w:rsidRPr="0007183B" w:rsidRDefault="001B29F9" w:rsidP="00415498">
      <w:pPr>
        <w:pStyle w:val="Nagwek1"/>
        <w:ind w:left="567" w:hanging="567"/>
      </w:pPr>
      <w:r>
        <w:t>Uważa za istotne, by władze lokalne i regionalne korzystały z odpowiednich własnych kanałów cyfrowych do komunikacji ze społeczeństwem w bardziej interaktywny i szybszy sposób w celu zapewnienia, by dostarczane informacje były wiarygodne i odpowiadały potrzebom na poziomie lokalnym i regionalnym.</w:t>
      </w:r>
    </w:p>
    <w:p w14:paraId="374A39DE" w14:textId="77777777" w:rsidR="00FD6CBB" w:rsidRPr="00406F7E" w:rsidRDefault="00FD6CBB" w:rsidP="00BD7287"/>
    <w:p w14:paraId="359AB957" w14:textId="77777777" w:rsidR="009825EC" w:rsidRPr="0007183B" w:rsidRDefault="006F06DD" w:rsidP="00415498">
      <w:pPr>
        <w:pStyle w:val="Nagwek1"/>
        <w:ind w:left="567" w:hanging="567"/>
        <w:rPr>
          <w:szCs w:val="22"/>
        </w:rPr>
      </w:pPr>
      <w:r>
        <w:t>Uważa, że niezależnie od głębokich skutków cyfryzacji dla życia społecznego, świata pracy, edukacji czy kultury, kryzys związany z COVID-19 uwypuklił znaczenie opartych na faktach i</w:t>
      </w:r>
      <w:r w:rsidR="003666EC">
        <w:t> </w:t>
      </w:r>
      <w:r>
        <w:t>aktualnych informacji oraz kanałów przekazywania tych informacji. Stało się również jasne, że władze lokalne i regionalne oraz obywatele muszą mieć możliwość kontaktu ze sobą oraz że muszą dysponować odpowiednimi narzędziami cyfrowymi służącymi do zwalczania dezinformacji i informacji wprowadzających w błąd. Narzędzia te muszą zawsze w pełni respektować prawo do pełnego korzystania z wolności słowa.</w:t>
      </w:r>
    </w:p>
    <w:p w14:paraId="0BC50138" w14:textId="77777777" w:rsidR="00691B7D" w:rsidRPr="009825EC" w:rsidRDefault="00691B7D" w:rsidP="00BD685B"/>
    <w:p w14:paraId="1FCC872E" w14:textId="77777777" w:rsidR="00415498" w:rsidRPr="0007183B" w:rsidRDefault="009825EC" w:rsidP="00415498">
      <w:pPr>
        <w:pStyle w:val="Nagwek1"/>
        <w:ind w:left="567" w:hanging="567"/>
      </w:pPr>
      <w:r>
        <w:t>Wzywa do skupienia uwagi na równym i swobodnym dostępie do usług cyfrowych.</w:t>
      </w:r>
    </w:p>
    <w:p w14:paraId="046AAE48" w14:textId="77777777" w:rsidR="00691B7D" w:rsidRPr="00406F7E" w:rsidRDefault="00691B7D" w:rsidP="00BD7287"/>
    <w:p w14:paraId="0BACA6F9" w14:textId="77777777" w:rsidR="009825EC" w:rsidRPr="0007183B" w:rsidRDefault="00827093" w:rsidP="00415498">
      <w:pPr>
        <w:pStyle w:val="Nagwek1"/>
        <w:ind w:left="567" w:hanging="567"/>
        <w:rPr>
          <w:szCs w:val="22"/>
        </w:rPr>
      </w:pPr>
      <w:r>
        <w:t>Zauważa, że młode pokolenie cyfrowe jest jedną z grup najbardziej narażonych na dezinformację i mowę nienawiści. Sądzi, że szczególnie intensywne korzystanie przez młodych z mediów społecznościowych, brak umiejętności krytycznej oceny tych mediów, zwłaszcza wśród osób o niższym poziomie wykształcenia, a także tworzenie homogenicznych baniek informacyjnych (tzw. kabin pogłosowych) generowanych przez media społecznościowe mogą zwiększyć podatność młodych ludzi na manipulacje polityczne. Podkreśla potrzebę korzystania z narzędzi cyfrowych, które są nie tylko przyjazne dla użytkownika, ale również zrozumiałe i</w:t>
      </w:r>
      <w:r w:rsidR="003666EC">
        <w:t> </w:t>
      </w:r>
      <w:r>
        <w:t>atrakcyjne, zarówno pod względem treści, jak i prezentacji, oraz dostosowane do umiejętności społecznych i cyfrowych młodych ludzi, aby zwiększyć świadomość na temat zagrożeń i szans wiążących się z nowymi mediami i technologiami cyfrowymi.</w:t>
      </w:r>
    </w:p>
    <w:p w14:paraId="798E5560" w14:textId="77777777" w:rsidR="00691B7D" w:rsidRPr="0007183B" w:rsidRDefault="00691B7D" w:rsidP="00BD685B"/>
    <w:p w14:paraId="646E498C" w14:textId="77777777" w:rsidR="00415498" w:rsidRPr="0007183B" w:rsidRDefault="009825EC" w:rsidP="00415498">
      <w:pPr>
        <w:pStyle w:val="Nagwek1"/>
        <w:ind w:left="567" w:hanging="567"/>
      </w:pPr>
      <w:r>
        <w:t>Uważa, że kryzys spowodowany przez pandemię COVID-19 jasno pokazał, jakie znaczenie może mieć telepraca. Zachęca władze lokalne i regionalne do zastanowienia się nad możliwościami poszerzenia rozwiązań z zakresu telepracy dla własnych pracowników.</w:t>
      </w:r>
    </w:p>
    <w:p w14:paraId="76085B7E" w14:textId="77777777" w:rsidR="00BD7287" w:rsidRPr="0007183B" w:rsidRDefault="00BD7287" w:rsidP="00BD7287"/>
    <w:p w14:paraId="39AAF699" w14:textId="77777777" w:rsidR="00415498" w:rsidRPr="0007183B" w:rsidRDefault="00827093" w:rsidP="00415498">
      <w:pPr>
        <w:pStyle w:val="Nagwek1"/>
        <w:ind w:left="567" w:hanging="567"/>
      </w:pPr>
      <w:r>
        <w:t>Powtarza apel o ścisłą współpracę i wymianę najlepszych praktyk między wszystkimi szczeblami sprawowania rządów z myślą o lepszym wykorzystaniu i dalszym wzmocnieniu cyfrowej transformacji miast i gmin. Z uznaniem patrzy na wiele przykładów lokalnych i</w:t>
      </w:r>
      <w:r w:rsidR="003666EC">
        <w:t> </w:t>
      </w:r>
      <w:r>
        <w:t>regionalnych, które pokazują, jak narzędzia cyfrowe mogą służyć demokracji uczestniczącej.</w:t>
      </w:r>
    </w:p>
    <w:p w14:paraId="6EC30EF1" w14:textId="77777777" w:rsidR="00652A7F" w:rsidRPr="0007183B" w:rsidRDefault="00652A7F" w:rsidP="00BD7287"/>
    <w:p w14:paraId="4C2118B4" w14:textId="77777777" w:rsidR="00415498" w:rsidRPr="0007183B" w:rsidRDefault="006F06DD" w:rsidP="003666EC">
      <w:pPr>
        <w:pStyle w:val="Nagwek1"/>
        <w:keepNext/>
        <w:keepLines/>
        <w:ind w:left="567" w:hanging="567"/>
      </w:pPr>
      <w:r>
        <w:lastRenderedPageBreak/>
        <w:t>Stwierdza, że wprowadzenie nowych rozwiązań technologicznych dodatkowo utrudniają braki wiedzy i umiejętności na poziomie władz publicznych, które to władze mogłyby skorzystać z</w:t>
      </w:r>
      <w:r w:rsidR="003666EC">
        <w:t> </w:t>
      </w:r>
      <w:r>
        <w:t>wdrożenia narzędzi cyfrowych. W związku z tym przydatne jest po pierwsze podsumowanie umiejętności cyfrowych dostępnych w samorządach lokalnych i regionalnych, a następnie określenie luk technologicznych w obrębie władz lokalnych i regionalnych oraz między nimi, a</w:t>
      </w:r>
      <w:r w:rsidR="003666EC">
        <w:t> </w:t>
      </w:r>
      <w:r>
        <w:t>także określenie potrzeb w tej dziedzinie, przy czym należy wprowadzić rozróżnienie między procesem a rozwiązaniem technicznym. Ponadto trzeba zapewnić zgodność (interoperacyjność) między poszczególnymi zbiorami danych i bazami danych.</w:t>
      </w:r>
    </w:p>
    <w:p w14:paraId="2CBD93A0" w14:textId="77777777" w:rsidR="00BD7287" w:rsidRPr="00406F7E" w:rsidRDefault="00BD7287" w:rsidP="00BD7287"/>
    <w:p w14:paraId="7FD5199E" w14:textId="77777777" w:rsidR="00415498" w:rsidRPr="00406F7E" w:rsidRDefault="00827093" w:rsidP="00415498">
      <w:pPr>
        <w:pStyle w:val="Nagwek1"/>
        <w:ind w:left="567" w:hanging="567"/>
      </w:pPr>
      <w:r>
        <w:t>Podkreśla znaczenie narzędzi internetowych ułatwiających rozwój partnerstw między władzami lokalnymi i regionalnymi w UE oraz między nimi a krajami partnerskimi. Uważa, że zaktualizowany internetowy europejski portal współpracy zdecentralizowanej stanowiłby istotną wartość dodaną, ponieważ wspierałby nawiązywanie kontaktów i wymianę najlepszych praktyk. Potwierdza gotowość do współpracy z Komisją Europejską przy opracowywania takiego narzędzia cyfrowego.</w:t>
      </w:r>
    </w:p>
    <w:p w14:paraId="2D44C0F4" w14:textId="77777777" w:rsidR="00652A7F" w:rsidRPr="008F2830" w:rsidRDefault="00652A7F" w:rsidP="00BD7287"/>
    <w:p w14:paraId="41AB228A" w14:textId="77777777" w:rsidR="00415498" w:rsidRPr="0007183B" w:rsidRDefault="008F2830" w:rsidP="00415498">
      <w:pPr>
        <w:pStyle w:val="Nagwek1"/>
        <w:ind w:left="567" w:hanging="567"/>
      </w:pPr>
      <w:r>
        <w:t>Oczekuje, że wprowadzanie różnych rozwiązań cyfrowych przez władze lokalne i regionalne, które może prowadzić do powstania znacznych, jednorazowych potrzeb inwestycyjnych, będzie częścią ogólnych rozważań na temat budżetu UE w kontekście transformacji cyfrowej.</w:t>
      </w:r>
    </w:p>
    <w:p w14:paraId="5D58D010" w14:textId="77777777" w:rsidR="00652A7F" w:rsidRPr="0007183B" w:rsidRDefault="00652A7F" w:rsidP="00BD7287"/>
    <w:p w14:paraId="3332DE0A" w14:textId="77777777" w:rsidR="00415498" w:rsidRPr="00406F7E" w:rsidRDefault="00827093" w:rsidP="00415498">
      <w:pPr>
        <w:pStyle w:val="Nagwek1"/>
        <w:ind w:left="567" w:hanging="567"/>
      </w:pPr>
      <w:r>
        <w:t xml:space="preserve">Popiera stanowisko stowarzyszenia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Civic</w:t>
      </w:r>
      <w:proofErr w:type="spellEnd"/>
      <w:r>
        <w:t xml:space="preserve"> Tech Europe (ACTE) z marca 2020 r., zgodnie z którym różnorodność modeli biznesowych w dziedzinie technologii obywatelskiej ma kluczowe znaczenie dla zapewniania szybkich rozwiązań przyjaznych obywatelom, i podziela obawy, że władze lokalne i regionalne w UE nie zawsze mają łatwy dostęp do tych narzędzi, ponieważ są one często rozwijane jako platformy oferujące oprogramowanie jako usługę (SaaS)</w:t>
      </w:r>
      <w:r w:rsidR="00415498" w:rsidRPr="00B47379">
        <w:rPr>
          <w:sz w:val="24"/>
          <w:szCs w:val="24"/>
          <w:vertAlign w:val="superscript"/>
        </w:rPr>
        <w:footnoteReference w:id="6"/>
      </w:r>
      <w:r>
        <w:t xml:space="preserve"> w ramach subskrypcji.</w:t>
      </w:r>
    </w:p>
    <w:p w14:paraId="417CF282" w14:textId="77777777" w:rsidR="00BD7287" w:rsidRPr="00406F7E" w:rsidRDefault="00BD7287" w:rsidP="00CB26F1">
      <w:pPr>
        <w:pStyle w:val="Nagwek1"/>
        <w:numPr>
          <w:ilvl w:val="0"/>
          <w:numId w:val="0"/>
        </w:numPr>
      </w:pPr>
    </w:p>
    <w:p w14:paraId="71704D00" w14:textId="77777777" w:rsidR="00415498" w:rsidRPr="00406F7E" w:rsidRDefault="006F06DD" w:rsidP="00415498">
      <w:pPr>
        <w:pStyle w:val="Nagwek1"/>
        <w:ind w:left="567" w:hanging="567"/>
      </w:pPr>
      <w:r>
        <w:t>Proponuje, by Europejski Komitet Regionów opracował środki motywujące i nagradzające władze lokalne i regionalne, aby wzmocnić ich zaangażowanie na rzecz zasad otwartego i</w:t>
      </w:r>
      <w:r w:rsidR="003666EC">
        <w:t> </w:t>
      </w:r>
      <w:r>
        <w:t>sprzyjającego włączeniu społecznemu sprawowania rządów. W ten sposób mogłoby powstać w przyszłości nowe kryterium jakości umożliwiające mierzenie poziomu demokracji w gminach oraz wymianę najlepszych praktyk.</w:t>
      </w:r>
    </w:p>
    <w:p w14:paraId="7C46E8CA" w14:textId="77777777" w:rsidR="00652A7F" w:rsidRPr="00406F7E" w:rsidRDefault="00652A7F" w:rsidP="00BD7287"/>
    <w:p w14:paraId="475D8DE2" w14:textId="77777777" w:rsidR="00415498" w:rsidRPr="00406F7E" w:rsidRDefault="006F06DD" w:rsidP="00415498">
      <w:pPr>
        <w:pStyle w:val="Nagwek1"/>
        <w:ind w:left="567" w:hanging="567"/>
      </w:pPr>
      <w:r>
        <w:t>Wzywa do udostępnienia w całej Europie środków finansowych w celu poprawy umiejętności cyfrowych obywateli i ich umiejętności korzystania z mediów za pomocą programów edukacyjnych i szkoleniowych dla różnych szczebli kształcenia, a także dla pracowników i</w:t>
      </w:r>
      <w:r w:rsidR="003666EC">
        <w:t> </w:t>
      </w:r>
      <w:r>
        <w:t>urzędników władz lokalnych i regionalnych, aby poprawić ich umiejętności i wiedzę w</w:t>
      </w:r>
      <w:r w:rsidR="003666EC">
        <w:t> </w:t>
      </w:r>
      <w:r>
        <w:t>zakresie korzystania z nowoczesnych rozwiązań cyfrowych i możliwości ich zastosowania.</w:t>
      </w:r>
    </w:p>
    <w:p w14:paraId="6B1904B8" w14:textId="77777777" w:rsidR="00BD7287" w:rsidRPr="00406F7E" w:rsidRDefault="00BD7287" w:rsidP="00BD7287"/>
    <w:p w14:paraId="39D6FD15" w14:textId="77777777" w:rsidR="009825EC" w:rsidRDefault="003C5002" w:rsidP="003666EC">
      <w:pPr>
        <w:pStyle w:val="Nagwek1"/>
        <w:keepNext/>
        <w:keepLines/>
        <w:ind w:left="567" w:hanging="567"/>
      </w:pPr>
      <w:r>
        <w:lastRenderedPageBreak/>
        <w:t>Zaleca, by władze lokalne i regionalne we wszystkich funduszach i programach priorytetowo traktowały wprowadzenie narzędzi cyfrowych.</w:t>
      </w:r>
    </w:p>
    <w:p w14:paraId="07B7DA63" w14:textId="77777777" w:rsidR="00652A7F" w:rsidRPr="009825EC" w:rsidRDefault="00652A7F" w:rsidP="003666EC">
      <w:pPr>
        <w:keepNext/>
        <w:keepLines/>
      </w:pPr>
    </w:p>
    <w:p w14:paraId="3341AD94" w14:textId="77777777" w:rsidR="009825EC" w:rsidRPr="0007183B" w:rsidRDefault="009825EC" w:rsidP="009825EC">
      <w:pPr>
        <w:pStyle w:val="Nagwek1"/>
        <w:ind w:left="567" w:hanging="567"/>
      </w:pPr>
      <w:r>
        <w:t>Wzywa do finansowania cyfrowych narzędzi edukacyjnych i sprzętu edukacyjnego w celu zapewnienia równego dostępu do wysokiej jakości cyfrowego uczenia się i nauczania w całej Europie.</w:t>
      </w:r>
    </w:p>
    <w:p w14:paraId="79ACE7A5" w14:textId="77777777" w:rsidR="00BD7287" w:rsidRPr="00406F7E" w:rsidRDefault="00BD7287" w:rsidP="00BD7287"/>
    <w:p w14:paraId="793F9FD2" w14:textId="77777777" w:rsidR="00415498" w:rsidRPr="00406F7E" w:rsidRDefault="003C5002" w:rsidP="003666EC">
      <w:pPr>
        <w:pStyle w:val="Nagwek1"/>
        <w:keepNext/>
        <w:keepLines/>
        <w:ind w:left="567" w:hanging="567"/>
      </w:pPr>
      <w:r>
        <w:t>Doradza w razie konieczności zmianę kryteriów kwalifikowalności, tak aby władze lokalne i</w:t>
      </w:r>
      <w:r w:rsidR="003666EC">
        <w:t> </w:t>
      </w:r>
      <w:r>
        <w:t>regionalne mogły wprowadzać nowe rozwiązania i platformy cyfrowe w prostszy i bardziej oszczędny sposób, co obejmuje też dostęp do finansowania UE na rzecz platform SaaS.</w:t>
      </w:r>
    </w:p>
    <w:p w14:paraId="18E3374C" w14:textId="77777777" w:rsidR="00365C10" w:rsidRPr="00406F7E" w:rsidRDefault="00365C10" w:rsidP="003666EC">
      <w:pPr>
        <w:keepNext/>
        <w:keepLines/>
      </w:pPr>
    </w:p>
    <w:p w14:paraId="5FCD29C3" w14:textId="77777777" w:rsidR="00EC760A" w:rsidRPr="00EC760A" w:rsidRDefault="00EC760A" w:rsidP="003666EC">
      <w:pPr>
        <w:keepNext/>
        <w:keepLines/>
        <w:textAlignment w:val="auto"/>
      </w:pPr>
      <w:r>
        <w:t>Bruksela, dnia 9 grudnia 2020 r.</w:t>
      </w:r>
    </w:p>
    <w:p w14:paraId="5CC7FECC" w14:textId="77777777" w:rsidR="00EC760A" w:rsidRPr="00EC760A" w:rsidRDefault="00EC760A" w:rsidP="003666EC">
      <w:pPr>
        <w:keepNext/>
        <w:keepLines/>
        <w:textAlignment w:val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EC760A" w:rsidRPr="00EC760A" w14:paraId="6550C542" w14:textId="77777777" w:rsidTr="004F1980">
        <w:tc>
          <w:tcPr>
            <w:tcW w:w="4644" w:type="dxa"/>
          </w:tcPr>
          <w:p w14:paraId="7F86B398" w14:textId="77777777" w:rsidR="00EC760A" w:rsidRPr="00EC760A" w:rsidRDefault="00EC760A" w:rsidP="003666EC">
            <w:pPr>
              <w:keepNext/>
              <w:keepLines/>
              <w:jc w:val="center"/>
              <w:textAlignment w:val="auto"/>
            </w:pPr>
            <w:r>
              <w:t>Przewodniczący</w:t>
            </w:r>
            <w:r>
              <w:br/>
              <w:t>Europejskiego Komitetu Regionów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proofErr w:type="spellStart"/>
            <w:r>
              <w:t>Apostolos</w:t>
            </w:r>
            <w:proofErr w:type="spellEnd"/>
            <w:r>
              <w:t xml:space="preserve"> TZITZIKOSTAS</w:t>
            </w:r>
          </w:p>
        </w:tc>
        <w:tc>
          <w:tcPr>
            <w:tcW w:w="4645" w:type="dxa"/>
          </w:tcPr>
          <w:p w14:paraId="6DA4C61A" w14:textId="77777777" w:rsidR="00EC760A" w:rsidRPr="00EC760A" w:rsidRDefault="00EC760A" w:rsidP="003666EC">
            <w:pPr>
              <w:keepNext/>
              <w:keepLines/>
              <w:jc w:val="center"/>
              <w:textAlignment w:val="auto"/>
            </w:pPr>
          </w:p>
        </w:tc>
      </w:tr>
      <w:tr w:rsidR="00EC760A" w:rsidRPr="00EC760A" w14:paraId="24F750CE" w14:textId="77777777" w:rsidTr="004F1980">
        <w:tc>
          <w:tcPr>
            <w:tcW w:w="4644" w:type="dxa"/>
          </w:tcPr>
          <w:p w14:paraId="66AC71E1" w14:textId="77777777" w:rsidR="00EC760A" w:rsidRPr="00EC760A" w:rsidRDefault="00EC760A" w:rsidP="00B47379">
            <w:pPr>
              <w:jc w:val="center"/>
              <w:textAlignment w:val="auto"/>
            </w:pPr>
          </w:p>
        </w:tc>
        <w:tc>
          <w:tcPr>
            <w:tcW w:w="4645" w:type="dxa"/>
          </w:tcPr>
          <w:p w14:paraId="0099BD14" w14:textId="77777777" w:rsidR="00EC760A" w:rsidRPr="00EC760A" w:rsidRDefault="00EC760A" w:rsidP="00B47379">
            <w:pPr>
              <w:jc w:val="center"/>
              <w:textAlignment w:val="auto"/>
            </w:pPr>
            <w:r>
              <w:t>Sekretarz Generalny</w:t>
            </w:r>
            <w:r>
              <w:br/>
              <w:t>Europejskiego Komitetu Regionów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Petr BLÍŽKOVSKÝ</w:t>
            </w:r>
          </w:p>
        </w:tc>
      </w:tr>
    </w:tbl>
    <w:p w14:paraId="3EE3AC94" w14:textId="77777777" w:rsidR="00444A98" w:rsidRPr="00406F7E" w:rsidRDefault="00444A98" w:rsidP="003A043C">
      <w:pPr>
        <w:textAlignment w:val="auto"/>
      </w:pPr>
    </w:p>
    <w:p w14:paraId="3F608285" w14:textId="77777777" w:rsidR="00444A98" w:rsidRPr="00406F7E" w:rsidRDefault="00444A98" w:rsidP="003A043C"/>
    <w:p w14:paraId="747BF4E4" w14:textId="77777777" w:rsidR="00444A98" w:rsidRPr="00406F7E" w:rsidRDefault="00444A98" w:rsidP="003A043C">
      <w:pPr>
        <w:numPr>
          <w:ilvl w:val="0"/>
          <w:numId w:val="13"/>
        </w:numPr>
        <w:ind w:left="567" w:hanging="567"/>
        <w:rPr>
          <w:b/>
          <w:bCs/>
        </w:rPr>
      </w:pPr>
      <w:r>
        <w:br w:type="page"/>
      </w:r>
      <w:r>
        <w:rPr>
          <w:b/>
          <w:bCs/>
        </w:rPr>
        <w:lastRenderedPageBreak/>
        <w:t>PROCEDURA</w:t>
      </w:r>
    </w:p>
    <w:p w14:paraId="526EC118" w14:textId="77777777" w:rsidR="00444A98" w:rsidRPr="00406F7E" w:rsidRDefault="00444A98" w:rsidP="003A0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28"/>
      </w:tblGrid>
      <w:tr w:rsidR="00444A98" w:rsidRPr="00406F7E" w14:paraId="598761CC" w14:textId="77777777" w:rsidTr="00633436">
        <w:tc>
          <w:tcPr>
            <w:tcW w:w="4361" w:type="dxa"/>
            <w:noWrap/>
          </w:tcPr>
          <w:p w14:paraId="7DF28FB4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  <w:p w14:paraId="5D7FF25C" w14:textId="77777777" w:rsidR="00444A98" w:rsidRPr="00406F7E" w:rsidRDefault="00444A98" w:rsidP="006D78CA">
            <w:pPr>
              <w:jc w:val="left"/>
            </w:pPr>
          </w:p>
        </w:tc>
        <w:tc>
          <w:tcPr>
            <w:tcW w:w="4928" w:type="dxa"/>
            <w:noWrap/>
          </w:tcPr>
          <w:p w14:paraId="1081AAF0" w14:textId="77777777" w:rsidR="00444A98" w:rsidRPr="00406F7E" w:rsidRDefault="00633398" w:rsidP="003A043C">
            <w:r>
              <w:t>Wzmocnienie sprawowania władzy na szczeblu lokalnym i demokracji przedstawicielskiej dzięki nowym instrumentom technologii cyfrowej</w:t>
            </w:r>
          </w:p>
        </w:tc>
      </w:tr>
      <w:tr w:rsidR="00444A98" w:rsidRPr="00406F7E" w14:paraId="0C9BBD86" w14:textId="77777777" w:rsidTr="00633436">
        <w:tc>
          <w:tcPr>
            <w:tcW w:w="4361" w:type="dxa"/>
            <w:noWrap/>
          </w:tcPr>
          <w:p w14:paraId="39BFBA2F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Dokument źródłowy </w:t>
            </w:r>
          </w:p>
        </w:tc>
        <w:tc>
          <w:tcPr>
            <w:tcW w:w="4928" w:type="dxa"/>
            <w:noWrap/>
          </w:tcPr>
          <w:p w14:paraId="0B566635" w14:textId="77777777" w:rsidR="00444A98" w:rsidRPr="00406F7E" w:rsidRDefault="00444A98" w:rsidP="003A043C"/>
        </w:tc>
      </w:tr>
      <w:tr w:rsidR="00444A98" w:rsidRPr="00406F7E" w14:paraId="27E7EE74" w14:textId="77777777" w:rsidTr="00633436">
        <w:tc>
          <w:tcPr>
            <w:tcW w:w="4361" w:type="dxa"/>
            <w:noWrap/>
          </w:tcPr>
          <w:p w14:paraId="4DC26EFB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  <w:tc>
          <w:tcPr>
            <w:tcW w:w="4928" w:type="dxa"/>
            <w:noWrap/>
          </w:tcPr>
          <w:p w14:paraId="372880F4" w14:textId="77777777" w:rsidR="00444A98" w:rsidRPr="00406F7E" w:rsidRDefault="00633398" w:rsidP="003A043C">
            <w:r>
              <w:t xml:space="preserve">Opinia z inicjatywy własnej (art. 41 lit. b) </w:t>
            </w:r>
            <w:proofErr w:type="spellStart"/>
            <w:r>
              <w:t>ppkt</w:t>
            </w:r>
            <w:proofErr w:type="spellEnd"/>
            <w:r>
              <w:t xml:space="preserve"> (ii))</w:t>
            </w:r>
          </w:p>
        </w:tc>
      </w:tr>
      <w:tr w:rsidR="00444A98" w:rsidRPr="00406F7E" w14:paraId="031282C1" w14:textId="77777777" w:rsidTr="00633436">
        <w:tc>
          <w:tcPr>
            <w:tcW w:w="4361" w:type="dxa"/>
            <w:noWrap/>
          </w:tcPr>
          <w:p w14:paraId="07B39B81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Tryb postępowania</w:t>
            </w:r>
          </w:p>
        </w:tc>
        <w:tc>
          <w:tcPr>
            <w:tcW w:w="4928" w:type="dxa"/>
            <w:noWrap/>
          </w:tcPr>
          <w:p w14:paraId="106162A8" w14:textId="77777777" w:rsidR="00444A98" w:rsidRPr="00406F7E" w:rsidRDefault="00633398" w:rsidP="003A043C">
            <w:r>
              <w:t xml:space="preserve">Opinia z inicjatywy własnej (art. 41 lit. b) </w:t>
            </w:r>
            <w:proofErr w:type="spellStart"/>
            <w:r>
              <w:t>ppkt</w:t>
            </w:r>
            <w:proofErr w:type="spellEnd"/>
            <w:r>
              <w:t xml:space="preserve"> (ii))</w:t>
            </w:r>
          </w:p>
        </w:tc>
      </w:tr>
      <w:tr w:rsidR="00444A98" w:rsidRPr="00406F7E" w14:paraId="512FBD72" w14:textId="77777777" w:rsidTr="00633436">
        <w:tc>
          <w:tcPr>
            <w:tcW w:w="4361" w:type="dxa"/>
          </w:tcPr>
          <w:p w14:paraId="782ED0AB" w14:textId="77777777" w:rsidR="00444A98" w:rsidRPr="00406F7E" w:rsidRDefault="00444A98" w:rsidP="006D78CA">
            <w:pPr>
              <w:jc w:val="left"/>
            </w:pPr>
            <w:r>
              <w:rPr>
                <w:b/>
                <w:bCs/>
              </w:rPr>
              <w:t>Data wniosku Rady/PE/Data pisma Komisji</w:t>
            </w:r>
          </w:p>
        </w:tc>
        <w:tc>
          <w:tcPr>
            <w:tcW w:w="4928" w:type="dxa"/>
            <w:noWrap/>
          </w:tcPr>
          <w:p w14:paraId="370836EC" w14:textId="77777777" w:rsidR="00444A98" w:rsidRPr="00406F7E" w:rsidRDefault="00444A98" w:rsidP="003A043C"/>
        </w:tc>
      </w:tr>
      <w:tr w:rsidR="00444A98" w:rsidRPr="00406F7E" w14:paraId="11235E2F" w14:textId="77777777" w:rsidTr="00633436">
        <w:tc>
          <w:tcPr>
            <w:tcW w:w="4361" w:type="dxa"/>
          </w:tcPr>
          <w:p w14:paraId="2F83A3B8" w14:textId="77777777" w:rsidR="00444A98" w:rsidRPr="00406F7E" w:rsidRDefault="00444A98" w:rsidP="006D78CA">
            <w:pPr>
              <w:jc w:val="left"/>
            </w:pPr>
            <w:r>
              <w:rPr>
                <w:b/>
                <w:bCs/>
              </w:rPr>
              <w:t>Data decyzji Przewodniczącego/Prezydium</w:t>
            </w:r>
          </w:p>
        </w:tc>
        <w:tc>
          <w:tcPr>
            <w:tcW w:w="4928" w:type="dxa"/>
            <w:noWrap/>
          </w:tcPr>
          <w:p w14:paraId="682C937F" w14:textId="77777777" w:rsidR="00444A98" w:rsidRPr="00406F7E" w:rsidRDefault="00BE0F53" w:rsidP="003A043C">
            <w:r>
              <w:t>12 lutego 2020 r.</w:t>
            </w:r>
          </w:p>
        </w:tc>
      </w:tr>
      <w:tr w:rsidR="00444A98" w:rsidRPr="00406F7E" w14:paraId="404BA1DE" w14:textId="77777777" w:rsidTr="00633436">
        <w:tc>
          <w:tcPr>
            <w:tcW w:w="4361" w:type="dxa"/>
            <w:noWrap/>
          </w:tcPr>
          <w:p w14:paraId="14E0EBE5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Komisja odpowiedzialna</w:t>
            </w:r>
          </w:p>
        </w:tc>
        <w:tc>
          <w:tcPr>
            <w:tcW w:w="4928" w:type="dxa"/>
            <w:noWrap/>
          </w:tcPr>
          <w:p w14:paraId="13C67A39" w14:textId="77777777" w:rsidR="00444A98" w:rsidRPr="00406F7E" w:rsidRDefault="00633398" w:rsidP="003A043C">
            <w:r>
              <w:t>Komisja Obywatelstwa, Sprawowania Rządów, Spraw Instytucjonalnych i Zewnętrznych (CIVEX)</w:t>
            </w:r>
          </w:p>
        </w:tc>
      </w:tr>
      <w:tr w:rsidR="00444A98" w:rsidRPr="00406F7E" w14:paraId="3562B45F" w14:textId="77777777" w:rsidTr="00633436">
        <w:tc>
          <w:tcPr>
            <w:tcW w:w="4361" w:type="dxa"/>
            <w:noWrap/>
          </w:tcPr>
          <w:p w14:paraId="308D8E3A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Sprawozdawca</w:t>
            </w:r>
          </w:p>
        </w:tc>
        <w:tc>
          <w:tcPr>
            <w:tcW w:w="4928" w:type="dxa"/>
            <w:noWrap/>
          </w:tcPr>
          <w:p w14:paraId="419612F9" w14:textId="77777777" w:rsidR="00444A98" w:rsidRPr="00406F7E" w:rsidRDefault="00633398" w:rsidP="003A043C">
            <w:proofErr w:type="spellStart"/>
            <w:r>
              <w:t>Rait</w:t>
            </w:r>
            <w:proofErr w:type="spellEnd"/>
            <w:r>
              <w:t xml:space="preserve"> PIHELGAS (EE/</w:t>
            </w:r>
            <w:proofErr w:type="spellStart"/>
            <w:r>
              <w:t>Renew</w:t>
            </w:r>
            <w:proofErr w:type="spellEnd"/>
            <w:r>
              <w:t xml:space="preserve"> Europe)</w:t>
            </w:r>
          </w:p>
        </w:tc>
      </w:tr>
      <w:tr w:rsidR="00444A98" w:rsidRPr="00406F7E" w14:paraId="2BE6714A" w14:textId="77777777" w:rsidTr="00633436">
        <w:tc>
          <w:tcPr>
            <w:tcW w:w="4361" w:type="dxa"/>
            <w:noWrap/>
          </w:tcPr>
          <w:p w14:paraId="26AE7927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Notatka analityczna</w:t>
            </w:r>
          </w:p>
        </w:tc>
        <w:tc>
          <w:tcPr>
            <w:tcW w:w="4928" w:type="dxa"/>
            <w:noWrap/>
          </w:tcPr>
          <w:p w14:paraId="0E6AA271" w14:textId="77777777" w:rsidR="00444A98" w:rsidRPr="00406F7E" w:rsidRDefault="00633436" w:rsidP="00BE0F53">
            <w:r>
              <w:t>5 marca 2020 r.</w:t>
            </w:r>
          </w:p>
        </w:tc>
      </w:tr>
      <w:tr w:rsidR="00444A98" w:rsidRPr="00406F7E" w14:paraId="4B8523D2" w14:textId="77777777" w:rsidTr="00633436">
        <w:tc>
          <w:tcPr>
            <w:tcW w:w="4361" w:type="dxa"/>
            <w:noWrap/>
          </w:tcPr>
          <w:p w14:paraId="4294EC1D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Posiedzenie komisji</w:t>
            </w:r>
          </w:p>
        </w:tc>
        <w:tc>
          <w:tcPr>
            <w:tcW w:w="4928" w:type="dxa"/>
            <w:noWrap/>
          </w:tcPr>
          <w:p w14:paraId="6632F245" w14:textId="77777777" w:rsidR="00444A98" w:rsidRPr="00406F7E" w:rsidRDefault="00633436" w:rsidP="003A043C">
            <w:r>
              <w:t>26 lutego i 25 czerwca 2020 r.</w:t>
            </w:r>
          </w:p>
        </w:tc>
      </w:tr>
      <w:tr w:rsidR="00444A98" w:rsidRPr="00406F7E" w14:paraId="627D4A42" w14:textId="77777777" w:rsidTr="00633436">
        <w:tc>
          <w:tcPr>
            <w:tcW w:w="4361" w:type="dxa"/>
            <w:noWrap/>
          </w:tcPr>
          <w:p w14:paraId="4DBC1890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Data przyjęcia przez komisję</w:t>
            </w:r>
          </w:p>
        </w:tc>
        <w:tc>
          <w:tcPr>
            <w:tcW w:w="4928" w:type="dxa"/>
            <w:noWrap/>
          </w:tcPr>
          <w:p w14:paraId="44072E05" w14:textId="77777777" w:rsidR="00444A98" w:rsidRPr="00406F7E" w:rsidRDefault="00633436" w:rsidP="003A043C">
            <w:r>
              <w:t>25 czerwca 2020 r.</w:t>
            </w:r>
          </w:p>
        </w:tc>
      </w:tr>
      <w:tr w:rsidR="00444A98" w:rsidRPr="00406F7E" w14:paraId="1F753C29" w14:textId="77777777" w:rsidTr="00633436">
        <w:tc>
          <w:tcPr>
            <w:tcW w:w="4361" w:type="dxa"/>
            <w:noWrap/>
          </w:tcPr>
          <w:p w14:paraId="7B96BB03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Wynik głosowania komisji</w:t>
            </w:r>
          </w:p>
          <w:p w14:paraId="609157A7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(większość, jednomyślność)</w:t>
            </w:r>
          </w:p>
        </w:tc>
        <w:tc>
          <w:tcPr>
            <w:tcW w:w="4928" w:type="dxa"/>
            <w:noWrap/>
          </w:tcPr>
          <w:p w14:paraId="42DC7B5B" w14:textId="77777777" w:rsidR="00444A98" w:rsidRPr="00406F7E" w:rsidRDefault="00636927" w:rsidP="00636927">
            <w:r>
              <w:t xml:space="preserve">Jednomyślność </w:t>
            </w:r>
          </w:p>
        </w:tc>
      </w:tr>
      <w:tr w:rsidR="00444A98" w:rsidRPr="00406F7E" w14:paraId="4004C33E" w14:textId="77777777" w:rsidTr="00633436">
        <w:tc>
          <w:tcPr>
            <w:tcW w:w="4361" w:type="dxa"/>
            <w:noWrap/>
          </w:tcPr>
          <w:p w14:paraId="6F91AC29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Data przyjęcia na sesji plenarnej</w:t>
            </w:r>
          </w:p>
        </w:tc>
        <w:tc>
          <w:tcPr>
            <w:tcW w:w="4928" w:type="dxa"/>
            <w:noWrap/>
          </w:tcPr>
          <w:p w14:paraId="428694BC" w14:textId="77777777" w:rsidR="00C17AD0" w:rsidRPr="00406F7E" w:rsidRDefault="00C17AD0">
            <w:r>
              <w:t>9 grudnia 2020 r.</w:t>
            </w:r>
          </w:p>
        </w:tc>
      </w:tr>
      <w:tr w:rsidR="00444A98" w:rsidRPr="00406F7E" w14:paraId="639CB3A1" w14:textId="77777777" w:rsidTr="00633436">
        <w:tc>
          <w:tcPr>
            <w:tcW w:w="4361" w:type="dxa"/>
            <w:noWrap/>
          </w:tcPr>
          <w:p w14:paraId="11C2FE4A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Wcześniejsze opinie Komitetu</w:t>
            </w:r>
          </w:p>
        </w:tc>
        <w:tc>
          <w:tcPr>
            <w:tcW w:w="4928" w:type="dxa"/>
            <w:noWrap/>
          </w:tcPr>
          <w:p w14:paraId="00A20B6B" w14:textId="77777777" w:rsidR="00444A98" w:rsidRPr="00406F7E" w:rsidRDefault="00162D2D" w:rsidP="003A043C">
            <w:r>
              <w:t>–</w:t>
            </w:r>
          </w:p>
        </w:tc>
      </w:tr>
      <w:tr w:rsidR="00444A98" w:rsidRPr="00406F7E" w14:paraId="7EF8F3AA" w14:textId="77777777" w:rsidTr="00633436">
        <w:tc>
          <w:tcPr>
            <w:tcW w:w="4361" w:type="dxa"/>
            <w:noWrap/>
          </w:tcPr>
          <w:p w14:paraId="0DA40454" w14:textId="77777777" w:rsidR="00444A98" w:rsidRPr="00406F7E" w:rsidRDefault="00444A98" w:rsidP="006D78C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Data konsultacji z Siecią Monitorującą Stosowanie Zasady Pomocniczości</w:t>
            </w:r>
          </w:p>
        </w:tc>
        <w:tc>
          <w:tcPr>
            <w:tcW w:w="4928" w:type="dxa"/>
            <w:noWrap/>
          </w:tcPr>
          <w:p w14:paraId="6846CB7A" w14:textId="77777777" w:rsidR="00444A98" w:rsidRPr="00406F7E" w:rsidRDefault="00162D2D" w:rsidP="003A043C">
            <w:r>
              <w:t>–</w:t>
            </w:r>
          </w:p>
        </w:tc>
      </w:tr>
    </w:tbl>
    <w:p w14:paraId="2FA8B3A0" w14:textId="77777777" w:rsidR="00444A98" w:rsidRPr="00406F7E" w:rsidRDefault="00444A98" w:rsidP="003A043C"/>
    <w:p w14:paraId="75FFC622" w14:textId="77777777" w:rsidR="00444A98" w:rsidRPr="00406F7E" w:rsidRDefault="007C3120" w:rsidP="00A44579">
      <w:pPr>
        <w:jc w:val="center"/>
      </w:pPr>
      <w:r>
        <w:t>_____________</w:t>
      </w:r>
    </w:p>
    <w:sectPr w:rsidR="00444A98" w:rsidRPr="00406F7E" w:rsidSect="00C557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C21BF" w14:textId="77777777" w:rsidR="006E6525" w:rsidRDefault="006E6525">
      <w:r>
        <w:separator/>
      </w:r>
    </w:p>
  </w:endnote>
  <w:endnote w:type="continuationSeparator" w:id="0">
    <w:p w14:paraId="67553730" w14:textId="77777777" w:rsidR="006E6525" w:rsidRDefault="006E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333D" w14:textId="77777777" w:rsidR="006D78CA" w:rsidRPr="00C55797" w:rsidRDefault="00C55797" w:rsidP="00C55797">
    <w:pPr>
      <w:pStyle w:val="Stopka"/>
    </w:pPr>
    <w:r>
      <w:t xml:space="preserve">COR-2020-00830-00-00-AC-TRA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666EC">
      <w:rPr>
        <w:noProof/>
      </w:rPr>
      <w:t>1</w:t>
    </w:r>
    <w:r>
      <w:fldChar w:fldCharType="end"/>
    </w:r>
    <w:r>
      <w:t>/</w:t>
    </w:r>
    <w:fldSimple w:instr=" NUMPAGES ">
      <w:r w:rsidR="003666EC">
        <w:rPr>
          <w:noProof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B0D76" w14:textId="77777777" w:rsidR="00C55797" w:rsidRPr="00C55797" w:rsidRDefault="00C55797" w:rsidP="00C557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7AB5" w14:textId="77777777" w:rsidR="004902A1" w:rsidRPr="00C55797" w:rsidRDefault="00C55797" w:rsidP="00C55797">
    <w:pPr>
      <w:pStyle w:val="Stopka"/>
    </w:pPr>
    <w:r>
      <w:t xml:space="preserve">COR-2020-00830-00-00-AC-TRA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666EC">
      <w:rPr>
        <w:noProof/>
      </w:rPr>
      <w:t>9</w:t>
    </w:r>
    <w:r>
      <w:fldChar w:fldCharType="end"/>
    </w:r>
    <w:r>
      <w:t>/</w:t>
    </w:r>
    <w:fldSimple w:instr=" NUMPAGES ">
      <w:r w:rsidR="003666EC">
        <w:rPr>
          <w:noProof/>
        </w:rPr>
        <w:t>10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B53E" w14:textId="77777777" w:rsidR="00C55797" w:rsidRPr="00C55797" w:rsidRDefault="00C55797" w:rsidP="00C55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C772B" w14:textId="77777777" w:rsidR="006E6525" w:rsidRDefault="006E6525">
      <w:r>
        <w:separator/>
      </w:r>
    </w:p>
  </w:footnote>
  <w:footnote w:type="continuationSeparator" w:id="0">
    <w:p w14:paraId="6C7412AD" w14:textId="77777777" w:rsidR="006E6525" w:rsidRDefault="006E6525">
      <w:r>
        <w:continuationSeparator/>
      </w:r>
    </w:p>
  </w:footnote>
  <w:footnote w:id="1">
    <w:p w14:paraId="5F650E46" w14:textId="77777777" w:rsidR="00415498" w:rsidRPr="00AC5AB3" w:rsidRDefault="00415498" w:rsidP="004902A1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  <w:t xml:space="preserve">„Budżet UE napędza plan odbudowy Europy” (COM(442) 2020 final). </w:t>
      </w:r>
    </w:p>
  </w:footnote>
  <w:footnote w:id="2">
    <w:p w14:paraId="42E18133" w14:textId="77777777" w:rsidR="00415498" w:rsidRDefault="00415498" w:rsidP="004902A1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  <w:t>COR-2017-03529-00-00-AC-TRA-PL.docx.</w:t>
      </w:r>
    </w:p>
  </w:footnote>
  <w:footnote w:id="3">
    <w:p w14:paraId="60265F56" w14:textId="77777777" w:rsidR="00415498" w:rsidRDefault="00415498" w:rsidP="004902A1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  <w:t>COR-2016-02882-00-01-AC-TRA-PL.docx.</w:t>
      </w:r>
    </w:p>
  </w:footnote>
  <w:footnote w:id="4">
    <w:p w14:paraId="3B244FF7" w14:textId="77777777" w:rsidR="00415498" w:rsidRDefault="00415498" w:rsidP="004902A1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  <w:t>COR-2016-04094-00-01-AC-TRA-PL.docx.</w:t>
      </w:r>
    </w:p>
  </w:footnote>
  <w:footnote w:id="5">
    <w:p w14:paraId="7B1C9BE1" w14:textId="77777777" w:rsidR="00BF0341" w:rsidRPr="00BD685B" w:rsidRDefault="00BF0341" w:rsidP="003666EC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  <w:t>Opinia KR-u „Cyfrowa Europa dla wszystkich: wdrożenie w terenie inteligentnych rozwiązań sprzyjających włączeniu społecznemu” (COR-2019-03332).</w:t>
      </w:r>
    </w:p>
  </w:footnote>
  <w:footnote w:id="6">
    <w:p w14:paraId="13950F30" w14:textId="77777777" w:rsidR="00415498" w:rsidRPr="00412EA4" w:rsidRDefault="00415498" w:rsidP="00F775B4">
      <w:pPr>
        <w:pStyle w:val="Tekstprzypisudolnego"/>
        <w:ind w:left="567" w:hanging="567"/>
      </w:pPr>
      <w:r>
        <w:rPr>
          <w:rStyle w:val="Odwoanieprzypisudolnego"/>
        </w:rPr>
        <w:footnoteRef/>
      </w:r>
      <w:r>
        <w:tab/>
        <w:t>Dokument przedstawiający stanowisko Association Civic Tech Europe (ACTE), marzec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CB98" w14:textId="77777777" w:rsidR="00C55797" w:rsidRPr="00C55797" w:rsidRDefault="00C55797" w:rsidP="00C557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369C" w14:textId="77777777" w:rsidR="00C55797" w:rsidRPr="00C55797" w:rsidRDefault="00C55797" w:rsidP="00C557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2906" w14:textId="77777777" w:rsidR="00C55797" w:rsidRPr="00C55797" w:rsidRDefault="00C55797" w:rsidP="00C557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gwek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Nagwek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gwek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gwek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gwek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D13518A"/>
    <w:multiLevelType w:val="hybridMultilevel"/>
    <w:tmpl w:val="42AEA13A"/>
    <w:lvl w:ilvl="0" w:tplc="1C789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97D"/>
    <w:multiLevelType w:val="hybridMultilevel"/>
    <w:tmpl w:val="7576BDE0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0A7F"/>
    <w:multiLevelType w:val="hybridMultilevel"/>
    <w:tmpl w:val="B9D25A84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041F2"/>
    <w:multiLevelType w:val="hybridMultilevel"/>
    <w:tmpl w:val="27B6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0160"/>
    <w:multiLevelType w:val="hybridMultilevel"/>
    <w:tmpl w:val="E9C829AE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D78EF"/>
    <w:multiLevelType w:val="hybridMultilevel"/>
    <w:tmpl w:val="51AA6D0A"/>
    <w:lvl w:ilvl="0" w:tplc="239691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D6FF8"/>
    <w:multiLevelType w:val="hybridMultilevel"/>
    <w:tmpl w:val="ABC66076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B7A"/>
    <w:multiLevelType w:val="hybridMultilevel"/>
    <w:tmpl w:val="51AA6D0A"/>
    <w:lvl w:ilvl="0" w:tplc="8BFAA1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B42"/>
    <w:multiLevelType w:val="hybridMultilevel"/>
    <w:tmpl w:val="D7C6597E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82629"/>
    <w:multiLevelType w:val="hybridMultilevel"/>
    <w:tmpl w:val="52666436"/>
    <w:lvl w:ilvl="0" w:tplc="2104FEF4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323C1"/>
    <w:multiLevelType w:val="hybridMultilevel"/>
    <w:tmpl w:val="A47234F8"/>
    <w:lvl w:ilvl="0" w:tplc="D2A24C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76409"/>
    <w:multiLevelType w:val="hybridMultilevel"/>
    <w:tmpl w:val="D1E60068"/>
    <w:lvl w:ilvl="0" w:tplc="1C789A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C65A12"/>
    <w:multiLevelType w:val="hybridMultilevel"/>
    <w:tmpl w:val="36164AD6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91568"/>
    <w:multiLevelType w:val="hybridMultilevel"/>
    <w:tmpl w:val="F4DE7EBC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640CBE"/>
    <w:multiLevelType w:val="hybridMultilevel"/>
    <w:tmpl w:val="13CE0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D71061"/>
    <w:multiLevelType w:val="hybridMultilevel"/>
    <w:tmpl w:val="34E6D4CC"/>
    <w:lvl w:ilvl="0" w:tplc="5EE28C76">
      <w:numFmt w:val="bullet"/>
      <w:lvlText w:val="-"/>
      <w:lvlJc w:val="left"/>
      <w:pPr>
        <w:ind w:left="1152" w:hanging="792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C5746"/>
    <w:multiLevelType w:val="hybridMultilevel"/>
    <w:tmpl w:val="B6E4F860"/>
    <w:lvl w:ilvl="0" w:tplc="83447096">
      <w:start w:val="1"/>
      <w:numFmt w:val="upperRoman"/>
      <w:lvlText w:val="%1."/>
      <w:lvlJc w:val="left"/>
      <w:pPr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5"/>
  </w:num>
  <w:num w:numId="9">
    <w:abstractNumId w:val="10"/>
  </w:num>
  <w:num w:numId="10">
    <w:abstractNumId w:val="14"/>
  </w:num>
  <w:num w:numId="11">
    <w:abstractNumId w:val="3"/>
  </w:num>
  <w:num w:numId="12">
    <w:abstractNumId w:val="8"/>
  </w:num>
  <w:num w:numId="13">
    <w:abstractNumId w:val="19"/>
  </w:num>
  <w:num w:numId="14">
    <w:abstractNumId w:val="1"/>
  </w:num>
  <w:num w:numId="15">
    <w:abstractNumId w:val="17"/>
  </w:num>
  <w:num w:numId="16">
    <w:abstractNumId w:val="13"/>
  </w:num>
  <w:num w:numId="17">
    <w:abstractNumId w:val="4"/>
  </w:num>
  <w:num w:numId="18">
    <w:abstractNumId w:val="12"/>
  </w:num>
  <w:num w:numId="19">
    <w:abstractNumId w:val="0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94"/>
    <w:rsid w:val="000175EE"/>
    <w:rsid w:val="00020D7F"/>
    <w:rsid w:val="00044126"/>
    <w:rsid w:val="00047C2F"/>
    <w:rsid w:val="000615B3"/>
    <w:rsid w:val="00065AD8"/>
    <w:rsid w:val="00067BA8"/>
    <w:rsid w:val="0007183B"/>
    <w:rsid w:val="00083AE8"/>
    <w:rsid w:val="00084F5C"/>
    <w:rsid w:val="000B74D3"/>
    <w:rsid w:val="000C3BC1"/>
    <w:rsid w:val="000D6A84"/>
    <w:rsid w:val="000E2D4F"/>
    <w:rsid w:val="000F1A0E"/>
    <w:rsid w:val="000F7A9C"/>
    <w:rsid w:val="00101FBB"/>
    <w:rsid w:val="00112E32"/>
    <w:rsid w:val="0012190B"/>
    <w:rsid w:val="00130492"/>
    <w:rsid w:val="00145598"/>
    <w:rsid w:val="0015645B"/>
    <w:rsid w:val="00156E05"/>
    <w:rsid w:val="00162D2D"/>
    <w:rsid w:val="00165A6C"/>
    <w:rsid w:val="001B29F9"/>
    <w:rsid w:val="001B2CC2"/>
    <w:rsid w:val="001B33A4"/>
    <w:rsid w:val="001C5C3C"/>
    <w:rsid w:val="001C66A9"/>
    <w:rsid w:val="001E2811"/>
    <w:rsid w:val="001E5620"/>
    <w:rsid w:val="001E56D0"/>
    <w:rsid w:val="001F1AB8"/>
    <w:rsid w:val="002019EA"/>
    <w:rsid w:val="002033F5"/>
    <w:rsid w:val="002054D0"/>
    <w:rsid w:val="002302F1"/>
    <w:rsid w:val="00254B94"/>
    <w:rsid w:val="0026767E"/>
    <w:rsid w:val="00293319"/>
    <w:rsid w:val="002A51B4"/>
    <w:rsid w:val="002A67BF"/>
    <w:rsid w:val="002B1E5E"/>
    <w:rsid w:val="002D2502"/>
    <w:rsid w:val="002D618D"/>
    <w:rsid w:val="002F03D6"/>
    <w:rsid w:val="003013DB"/>
    <w:rsid w:val="00322488"/>
    <w:rsid w:val="00332422"/>
    <w:rsid w:val="00334D96"/>
    <w:rsid w:val="003563A4"/>
    <w:rsid w:val="00365C10"/>
    <w:rsid w:val="003666EC"/>
    <w:rsid w:val="00367564"/>
    <w:rsid w:val="00370747"/>
    <w:rsid w:val="00373ED4"/>
    <w:rsid w:val="00383975"/>
    <w:rsid w:val="003842FD"/>
    <w:rsid w:val="003A043C"/>
    <w:rsid w:val="003B068C"/>
    <w:rsid w:val="003B0723"/>
    <w:rsid w:val="003B1C77"/>
    <w:rsid w:val="003B1FB5"/>
    <w:rsid w:val="003C0F98"/>
    <w:rsid w:val="003C5002"/>
    <w:rsid w:val="003E2AB7"/>
    <w:rsid w:val="003E2D6E"/>
    <w:rsid w:val="003E3A38"/>
    <w:rsid w:val="003E420C"/>
    <w:rsid w:val="00406724"/>
    <w:rsid w:val="00406F7E"/>
    <w:rsid w:val="00415395"/>
    <w:rsid w:val="00415498"/>
    <w:rsid w:val="004219D8"/>
    <w:rsid w:val="004336B4"/>
    <w:rsid w:val="00444A98"/>
    <w:rsid w:val="00454AD9"/>
    <w:rsid w:val="00475484"/>
    <w:rsid w:val="004902A1"/>
    <w:rsid w:val="004A0C7C"/>
    <w:rsid w:val="004A41CF"/>
    <w:rsid w:val="004B698F"/>
    <w:rsid w:val="004C1AB7"/>
    <w:rsid w:val="004C5DD4"/>
    <w:rsid w:val="004D5ADD"/>
    <w:rsid w:val="004E605D"/>
    <w:rsid w:val="0050643D"/>
    <w:rsid w:val="00526668"/>
    <w:rsid w:val="00536F3A"/>
    <w:rsid w:val="00575FC1"/>
    <w:rsid w:val="00581D71"/>
    <w:rsid w:val="00583866"/>
    <w:rsid w:val="005918A5"/>
    <w:rsid w:val="00591B92"/>
    <w:rsid w:val="00594020"/>
    <w:rsid w:val="005A41BB"/>
    <w:rsid w:val="005A7F8D"/>
    <w:rsid w:val="005B139C"/>
    <w:rsid w:val="005B2905"/>
    <w:rsid w:val="005B6166"/>
    <w:rsid w:val="005C23A7"/>
    <w:rsid w:val="005C36CD"/>
    <w:rsid w:val="005C4B78"/>
    <w:rsid w:val="005C4F1C"/>
    <w:rsid w:val="005C602A"/>
    <w:rsid w:val="005D31A6"/>
    <w:rsid w:val="005D5C26"/>
    <w:rsid w:val="005E58C7"/>
    <w:rsid w:val="005F67D1"/>
    <w:rsid w:val="00613E0A"/>
    <w:rsid w:val="006178E4"/>
    <w:rsid w:val="006311E4"/>
    <w:rsid w:val="00633398"/>
    <w:rsid w:val="00633436"/>
    <w:rsid w:val="00636927"/>
    <w:rsid w:val="00652A7F"/>
    <w:rsid w:val="006835C6"/>
    <w:rsid w:val="00684BEC"/>
    <w:rsid w:val="00691B7D"/>
    <w:rsid w:val="006A4A0A"/>
    <w:rsid w:val="006D0087"/>
    <w:rsid w:val="006D78CA"/>
    <w:rsid w:val="006E2FBC"/>
    <w:rsid w:val="006E6525"/>
    <w:rsid w:val="006F06DD"/>
    <w:rsid w:val="006F4FE9"/>
    <w:rsid w:val="006F7B77"/>
    <w:rsid w:val="00707E37"/>
    <w:rsid w:val="00716C11"/>
    <w:rsid w:val="00720994"/>
    <w:rsid w:val="00727B1B"/>
    <w:rsid w:val="0075508D"/>
    <w:rsid w:val="0075709C"/>
    <w:rsid w:val="0077017F"/>
    <w:rsid w:val="0077651C"/>
    <w:rsid w:val="00785967"/>
    <w:rsid w:val="007A6D76"/>
    <w:rsid w:val="007B10B2"/>
    <w:rsid w:val="007B2E4D"/>
    <w:rsid w:val="007C3120"/>
    <w:rsid w:val="007C4E2B"/>
    <w:rsid w:val="007D4083"/>
    <w:rsid w:val="007F0079"/>
    <w:rsid w:val="007F68C4"/>
    <w:rsid w:val="00810512"/>
    <w:rsid w:val="00814EF3"/>
    <w:rsid w:val="008224B6"/>
    <w:rsid w:val="00827093"/>
    <w:rsid w:val="00837FA5"/>
    <w:rsid w:val="00847E17"/>
    <w:rsid w:val="00866F5C"/>
    <w:rsid w:val="0088134C"/>
    <w:rsid w:val="008A1865"/>
    <w:rsid w:val="008A70C5"/>
    <w:rsid w:val="008B5013"/>
    <w:rsid w:val="008C206C"/>
    <w:rsid w:val="008C4290"/>
    <w:rsid w:val="008D3638"/>
    <w:rsid w:val="008D5CBC"/>
    <w:rsid w:val="008F2830"/>
    <w:rsid w:val="00913B7D"/>
    <w:rsid w:val="00934E50"/>
    <w:rsid w:val="009352AE"/>
    <w:rsid w:val="009545E8"/>
    <w:rsid w:val="0096445B"/>
    <w:rsid w:val="009825EC"/>
    <w:rsid w:val="009907F3"/>
    <w:rsid w:val="00996F5A"/>
    <w:rsid w:val="009A16C1"/>
    <w:rsid w:val="009A6E15"/>
    <w:rsid w:val="009C5CB6"/>
    <w:rsid w:val="009D277B"/>
    <w:rsid w:val="009F0B69"/>
    <w:rsid w:val="009F7D37"/>
    <w:rsid w:val="00A012E5"/>
    <w:rsid w:val="00A04C27"/>
    <w:rsid w:val="00A22AF8"/>
    <w:rsid w:val="00A402C8"/>
    <w:rsid w:val="00A44579"/>
    <w:rsid w:val="00A75F96"/>
    <w:rsid w:val="00A80E8B"/>
    <w:rsid w:val="00A84676"/>
    <w:rsid w:val="00A911A9"/>
    <w:rsid w:val="00A91F95"/>
    <w:rsid w:val="00AA77B1"/>
    <w:rsid w:val="00AB0937"/>
    <w:rsid w:val="00AC67A7"/>
    <w:rsid w:val="00AD0A0D"/>
    <w:rsid w:val="00AE2769"/>
    <w:rsid w:val="00AE4401"/>
    <w:rsid w:val="00B20506"/>
    <w:rsid w:val="00B33430"/>
    <w:rsid w:val="00B47379"/>
    <w:rsid w:val="00B65DB1"/>
    <w:rsid w:val="00BB4B32"/>
    <w:rsid w:val="00BC3F85"/>
    <w:rsid w:val="00BC5C12"/>
    <w:rsid w:val="00BD456B"/>
    <w:rsid w:val="00BD685B"/>
    <w:rsid w:val="00BD7287"/>
    <w:rsid w:val="00BE061F"/>
    <w:rsid w:val="00BE0F53"/>
    <w:rsid w:val="00BE3B2C"/>
    <w:rsid w:val="00BE3E20"/>
    <w:rsid w:val="00BF0341"/>
    <w:rsid w:val="00BF7AE7"/>
    <w:rsid w:val="00C0189B"/>
    <w:rsid w:val="00C05A50"/>
    <w:rsid w:val="00C17AD0"/>
    <w:rsid w:val="00C22FFE"/>
    <w:rsid w:val="00C3552F"/>
    <w:rsid w:val="00C55797"/>
    <w:rsid w:val="00C639CA"/>
    <w:rsid w:val="00C65712"/>
    <w:rsid w:val="00C82639"/>
    <w:rsid w:val="00CA6B49"/>
    <w:rsid w:val="00CB26F1"/>
    <w:rsid w:val="00CB7BAE"/>
    <w:rsid w:val="00CE5929"/>
    <w:rsid w:val="00D025D3"/>
    <w:rsid w:val="00D31652"/>
    <w:rsid w:val="00D32993"/>
    <w:rsid w:val="00D46F0D"/>
    <w:rsid w:val="00D60493"/>
    <w:rsid w:val="00D84F70"/>
    <w:rsid w:val="00DA0453"/>
    <w:rsid w:val="00DA085F"/>
    <w:rsid w:val="00DA0891"/>
    <w:rsid w:val="00DA3DEA"/>
    <w:rsid w:val="00DB42AB"/>
    <w:rsid w:val="00DC0B0D"/>
    <w:rsid w:val="00DC55CB"/>
    <w:rsid w:val="00DD66B3"/>
    <w:rsid w:val="00DE5160"/>
    <w:rsid w:val="00DE664B"/>
    <w:rsid w:val="00DF3983"/>
    <w:rsid w:val="00DF5986"/>
    <w:rsid w:val="00DF7D46"/>
    <w:rsid w:val="00E1441D"/>
    <w:rsid w:val="00E30D3A"/>
    <w:rsid w:val="00E47366"/>
    <w:rsid w:val="00E52232"/>
    <w:rsid w:val="00E5664A"/>
    <w:rsid w:val="00E67837"/>
    <w:rsid w:val="00E83AE3"/>
    <w:rsid w:val="00E83E7B"/>
    <w:rsid w:val="00EA3AA9"/>
    <w:rsid w:val="00EA51ED"/>
    <w:rsid w:val="00EB3B52"/>
    <w:rsid w:val="00EC760A"/>
    <w:rsid w:val="00ED1A9A"/>
    <w:rsid w:val="00ED4446"/>
    <w:rsid w:val="00EE508C"/>
    <w:rsid w:val="00EF335F"/>
    <w:rsid w:val="00F06FF5"/>
    <w:rsid w:val="00F35DE4"/>
    <w:rsid w:val="00F40F26"/>
    <w:rsid w:val="00F42EDA"/>
    <w:rsid w:val="00F45402"/>
    <w:rsid w:val="00F55286"/>
    <w:rsid w:val="00F775B4"/>
    <w:rsid w:val="00F83853"/>
    <w:rsid w:val="00F84BCE"/>
    <w:rsid w:val="00F85741"/>
    <w:rsid w:val="00F90928"/>
    <w:rsid w:val="00F90F5A"/>
    <w:rsid w:val="00FA005F"/>
    <w:rsid w:val="00FA1EEE"/>
    <w:rsid w:val="00FB7BB6"/>
    <w:rsid w:val="00FD6CBB"/>
    <w:rsid w:val="00FE7B56"/>
    <w:rsid w:val="00FF53DC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37EDB"/>
  <w15:docId w15:val="{E05D48AB-971B-4265-B7D3-825ADA1B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7E1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E17"/>
    <w:pPr>
      <w:numPr>
        <w:numId w:val="1"/>
      </w:numPr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7E17"/>
    <w:pPr>
      <w:numPr>
        <w:ilvl w:val="1"/>
        <w:numId w:val="1"/>
      </w:numPr>
      <w:ind w:left="720" w:hanging="72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47E17"/>
    <w:pPr>
      <w:numPr>
        <w:ilvl w:val="2"/>
        <w:numId w:val="1"/>
      </w:numPr>
      <w:ind w:left="720" w:hanging="7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847E17"/>
    <w:pPr>
      <w:numPr>
        <w:ilvl w:val="3"/>
        <w:numId w:val="1"/>
      </w:numPr>
      <w:ind w:left="720" w:hanging="720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847E17"/>
    <w:pPr>
      <w:numPr>
        <w:ilvl w:val="4"/>
        <w:numId w:val="1"/>
      </w:numPr>
      <w:ind w:left="720" w:hanging="720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qFormat/>
    <w:rsid w:val="00847E17"/>
    <w:pPr>
      <w:numPr>
        <w:ilvl w:val="5"/>
        <w:numId w:val="1"/>
      </w:numPr>
      <w:ind w:left="720" w:hanging="72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qFormat/>
    <w:rsid w:val="00847E17"/>
    <w:pPr>
      <w:numPr>
        <w:ilvl w:val="6"/>
        <w:numId w:val="1"/>
      </w:numPr>
      <w:ind w:left="720" w:hanging="72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847E17"/>
    <w:pPr>
      <w:numPr>
        <w:ilvl w:val="7"/>
        <w:numId w:val="1"/>
      </w:numPr>
      <w:ind w:left="720" w:hanging="72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rsid w:val="00847E17"/>
    <w:pPr>
      <w:numPr>
        <w:ilvl w:val="8"/>
        <w:numId w:val="1"/>
      </w:numPr>
      <w:ind w:left="720" w:hanging="72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6A8"/>
    <w:rPr>
      <w:rFonts w:asciiTheme="majorHAnsi" w:eastAsiaTheme="majorEastAsia" w:hAnsiTheme="majorHAnsi" w:cstheme="majorBidi"/>
      <w:b/>
      <w:bCs/>
      <w:color w:val="4F81BD" w:themeColor="accent1"/>
      <w:sz w:val="22"/>
      <w:lang w:val="pl-PL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6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pl-PL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6A8"/>
    <w:rPr>
      <w:rFonts w:asciiTheme="majorHAnsi" w:eastAsiaTheme="majorEastAsia" w:hAnsiTheme="majorHAnsi" w:cstheme="majorBidi"/>
      <w:color w:val="243F60" w:themeColor="accent1" w:themeShade="7F"/>
      <w:sz w:val="22"/>
      <w:lang w:val="pl-PL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66A8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pl-PL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66A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pl-PL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66A8"/>
    <w:rPr>
      <w:rFonts w:asciiTheme="majorHAnsi" w:eastAsiaTheme="majorEastAsia" w:hAnsiTheme="majorHAnsi" w:cstheme="majorBidi"/>
      <w:color w:val="404040" w:themeColor="text1" w:themeTint="BF"/>
      <w:lang w:val="pl-PL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66A8"/>
    <w:rPr>
      <w:rFonts w:asciiTheme="majorHAnsi" w:eastAsiaTheme="majorEastAsia" w:hAnsiTheme="majorHAnsi" w:cstheme="majorBidi"/>
      <w:i/>
      <w:iCs/>
      <w:color w:val="404040" w:themeColor="text1" w:themeTint="BF"/>
      <w:lang w:val="pl-PL" w:eastAsia="en-US"/>
    </w:rPr>
  </w:style>
  <w:style w:type="paragraph" w:styleId="Stopka">
    <w:name w:val="footer"/>
    <w:basedOn w:val="Normalny"/>
    <w:link w:val="StopkaZnak"/>
    <w:uiPriority w:val="99"/>
    <w:rsid w:val="00847E17"/>
  </w:style>
  <w:style w:type="character" w:customStyle="1" w:styleId="StopkaZnak">
    <w:name w:val="Stopka Znak"/>
    <w:basedOn w:val="Domylnaczcionkaakapitu"/>
    <w:link w:val="Stopka"/>
    <w:uiPriority w:val="99"/>
    <w:rsid w:val="009D66A8"/>
    <w:rPr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7E1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6A8"/>
    <w:rPr>
      <w:lang w:val="pl-PL" w:eastAsia="en-US"/>
    </w:rPr>
  </w:style>
  <w:style w:type="paragraph" w:styleId="Nagwek">
    <w:name w:val="header"/>
    <w:basedOn w:val="Normalny"/>
    <w:link w:val="NagwekZnak"/>
    <w:uiPriority w:val="99"/>
    <w:rsid w:val="00847E17"/>
  </w:style>
  <w:style w:type="character" w:customStyle="1" w:styleId="NagwekZnak">
    <w:name w:val="Nagłówek Znak"/>
    <w:basedOn w:val="Domylnaczcionkaakapitu"/>
    <w:link w:val="Nagwek"/>
    <w:uiPriority w:val="99"/>
    <w:rsid w:val="009D66A8"/>
    <w:rPr>
      <w:sz w:val="22"/>
      <w:lang w:eastAsia="en-US"/>
    </w:rPr>
  </w:style>
  <w:style w:type="paragraph" w:customStyle="1" w:styleId="quotes">
    <w:name w:val="quotes"/>
    <w:basedOn w:val="Normalny"/>
    <w:next w:val="Normalny"/>
    <w:rsid w:val="00847E17"/>
    <w:pPr>
      <w:ind w:left="720"/>
    </w:pPr>
    <w:rPr>
      <w:i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rsid w:val="00847E17"/>
    <w:rPr>
      <w:sz w:val="24"/>
      <w:vertAlign w:val="superscript"/>
    </w:rPr>
  </w:style>
  <w:style w:type="character" w:styleId="UyteHipercze">
    <w:name w:val="FollowedHyperlink"/>
    <w:basedOn w:val="Domylnaczcionkaakapitu"/>
    <w:uiPriority w:val="99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D46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F0D"/>
    <w:rPr>
      <w:rFonts w:ascii="Tahoma" w:hAnsi="Tahoma" w:cs="Tahoma"/>
      <w:sz w:val="16"/>
      <w:szCs w:val="16"/>
      <w:lang w:val="pl-PL" w:eastAsia="en-US"/>
    </w:rPr>
  </w:style>
  <w:style w:type="paragraph" w:customStyle="1" w:styleId="LOGO">
    <w:name w:val="LOGO"/>
    <w:basedOn w:val="Normalny"/>
    <w:pPr>
      <w:jc w:val="center"/>
    </w:pPr>
    <w:rPr>
      <w:rFonts w:ascii="Arial" w:hAnsi="Arial"/>
      <w:b/>
      <w:i/>
      <w:sz w:val="20"/>
    </w:rPr>
  </w:style>
  <w:style w:type="table" w:styleId="Tabela-Siatka">
    <w:name w:val="Table Grid"/>
    <w:basedOn w:val="Standardowy"/>
    <w:rsid w:val="00996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35DE4"/>
    <w:rPr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7C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DD1300F153029438A7F7A7E5041607E" ma:contentTypeVersion="4" ma:contentTypeDescription="Defines the documents for Document Manager V2" ma:contentTypeScope="" ma:versionID="9498763e1f5566182ca635761174b491">
  <xsd:schema xmlns:xsd="http://www.w3.org/2001/XMLSchema" xmlns:xs="http://www.w3.org/2001/XMLSchema" xmlns:p="http://schemas.microsoft.com/office/2006/metadata/properties" xmlns:ns2="0b452354-65a4-4dd6-8824-e6b830247e3e" xmlns:ns3="http://schemas.microsoft.com/sharepoint/v3/fields" xmlns:ns4="5d95ec0a-9114-4b25-a03f-7a9935b10621" targetNamespace="http://schemas.microsoft.com/office/2006/metadata/properties" ma:root="true" ma:fieldsID="9f23550a7d22b19948786cec37bcc6f0" ns2:_="" ns3:_="" ns4:_="">
    <xsd:import namespace="0b452354-65a4-4dd6-8824-e6b830247e3e"/>
    <xsd:import namespace="http://schemas.microsoft.com/sharepoint/v3/fields"/>
    <xsd:import namespace="5d95ec0a-9114-4b25-a03f-7a9935b106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2354-65a4-4dd6-8824-e6b830247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2372cf09-4e2b-4dd9-bbd8-042ba4cc2786}" ma:internalName="TaxCatchAll" ma:showField="CatchAllData" ma:web="0b452354-65a4-4dd6-8824-e6b830247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2372cf09-4e2b-4dd9-bbd8-042ba4cc2786}" ma:internalName="TaxCatchAllLabel" ma:readOnly="true" ma:showField="CatchAllDataLabel" ma:web="0b452354-65a4-4dd6-8824-e6b830247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5ec0a-9114-4b25-a03f-7a9935b10621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452354-65a4-4dd6-8824-e6b830247e3e">3T5AXJEHYTWU-565423274-9955</_dlc_DocId>
    <_dlc_DocIdUrl xmlns="0b452354-65a4-4dd6-8824-e6b830247e3e">
      <Url>http://dm2016/cor/2020/_layouts/15/DocIdRedir.aspx?ID=3T5AXJEHYTWU-565423274-9955</Url>
      <Description>3T5AXJEHYTWU-565423274-9955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</TermName>
          <TermId xmlns="http://schemas.microsoft.com/office/infopath/2007/PartnerControls">a4cc1d15-fb08-4679-ad46-e4e0cba5fe92</TermId>
        </TermInfo>
      </Terms>
    </DocumentType_0>
    <Procedure xmlns="0b452354-65a4-4dd6-8824-e6b830247e3e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0b452354-65a4-4dd6-8824-e6b830247e3e">2020-12-18T12:00:00+00:00</ProductionDate>
    <FicheYear xmlns="0b452354-65a4-4dd6-8824-e6b830247e3e">2020</FicheYear>
    <DocumentNumber xmlns="5d95ec0a-9114-4b25-a03f-7a9935b10621">830</DocumentNumber>
    <DocumentVersion xmlns="0b452354-65a4-4dd6-8824-e6b830247e3e">0</DocumentVersion>
    <DossierNumber xmlns="0b452354-65a4-4dd6-8824-e6b830247e3e">2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b452354-65a4-4dd6-8824-e6b830247e3e" xsi:nil="true"/>
    <TaxCatchAll xmlns="0b452354-65a4-4dd6-8824-e6b830247e3e">
      <Value>71</Value>
      <Value>38</Value>
      <Value>37</Value>
      <Value>36</Value>
      <Value>35</Value>
      <Value>34</Value>
      <Value>31</Value>
      <Value>30</Value>
      <Value>29</Value>
      <Value>27</Value>
      <Value>26</Value>
      <Value>25</Value>
      <Value>23</Value>
      <Value>19</Value>
      <Value>18</Value>
      <Value>17</Value>
      <Value>16</Value>
      <Value>15</Value>
      <Value>14</Value>
      <Value>13</Value>
      <Value>12</Value>
      <Value>11</Value>
      <Value>99</Value>
      <Value>8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Rapporteur xmlns="0b452354-65a4-4dd6-8824-e6b830247e3e">PIHELGAS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0b452354-65a4-4dd6-8824-e6b830247e3e">2020</DocumentYear>
    <FicheNumber xmlns="0b452354-65a4-4dd6-8824-e6b830247e3e">14146</FicheNumber>
    <DocumentPart xmlns="0b452354-65a4-4dd6-8824-e6b830247e3e">0</DocumentPart>
    <AdoptionDate xmlns="0b452354-65a4-4dd6-8824-e6b830247e3e">2020-12-09T12:00:00+00:00</AdoptionDate>
    <RequestingService xmlns="0b452354-65a4-4dd6-8824-e6b830247e3e">Affaires constitutionnelles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5d95ec0a-9114-4b25-a03f-7a9935b10621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CIVEX-VII</TermName>
          <TermId xmlns="http://schemas.microsoft.com/office/infopath/2007/PartnerControls">0f19ad9a-5413-4cad-8f15-98940fe4d70a</TermId>
        </TermInfo>
      </Terms>
    </DossierName_0>
  </documentManagement>
</p:properties>
</file>

<file path=customXml/itemProps1.xml><?xml version="1.0" encoding="utf-8"?>
<ds:datastoreItem xmlns:ds="http://schemas.openxmlformats.org/officeDocument/2006/customXml" ds:itemID="{75E66508-B14D-4CF1-A888-F7BD6B806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75D95-DC6F-441D-A597-F06D0AF91B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D4AB8A-742E-4CEE-B03D-B4BEE3DB9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52354-65a4-4dd6-8824-e6b830247e3e"/>
    <ds:schemaRef ds:uri="http://schemas.microsoft.com/sharepoint/v3/fields"/>
    <ds:schemaRef ds:uri="5d95ec0a-9114-4b25-a03f-7a9935b10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765D8-6145-487D-8AFD-D80AE05A45A3}">
  <ds:schemaRefs>
    <ds:schemaRef ds:uri="http://schemas.microsoft.com/office/2006/metadata/properties"/>
    <ds:schemaRef ds:uri="http://schemas.microsoft.com/office/infopath/2007/PartnerControls"/>
    <ds:schemaRef ds:uri="0b452354-65a4-4dd6-8824-e6b830247e3e"/>
    <ds:schemaRef ds:uri="http://schemas.microsoft.com/sharepoint/v3/fields"/>
    <ds:schemaRef ds:uri="5d95ec0a-9114-4b25-a03f-7a9935b106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3217</Words>
  <Characters>19307</Characters>
  <Application>Microsoft Office Word</Application>
  <DocSecurity>0</DocSecurity>
  <Lines>160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local governance and representative democracy via new digital technology instruments</vt:lpstr>
    </vt:vector>
  </TitlesOfParts>
  <Company>CESE-CdR</Company>
  <LinksUpToDate>false</LinksUpToDate>
  <CharactersWithSpaces>22480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Wzmocnienie sprawowania władzy na szczeblu lokalnym i demokracji przedstawicielskiej dzięki nowym instrumentom technologii cyfrowej</dc:title>
  <dc:creator>Emma Nieddu</dc:creator>
  <cp:keywords>COR-2020-00830-00-00-AC-TRA-EN</cp:keywords>
  <dc:description>Rapporteur: PIHELGAS - Original language: EN - Date of document: 18/12/2020 - Date of meeting:  - External documents:  - Administrator:  SAMARAS Galina</dc:description>
  <cp:lastModifiedBy>s.cyrankiewicz@zwrp.pl</cp:lastModifiedBy>
  <cp:revision>1</cp:revision>
  <cp:lastPrinted>2007-01-10T10:43:00Z</cp:lastPrinted>
  <dcterms:created xsi:type="dcterms:W3CDTF">2020-12-16T16:16:00Z</dcterms:created>
  <dcterms:modified xsi:type="dcterms:W3CDTF">2020-12-31T10:48:00Z</dcterms:modified>
  <cp:category>CIVEX-VII/2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16/12/2020, 16/12/2020, 10/11/2020, 09/07/2020, 07/07/2020, 07/07/2020, 29/05/2020, 29/05/2020, 26/05/2020</vt:lpwstr>
  </property>
  <property fmtid="{D5CDD505-2E9C-101B-9397-08002B2CF9AE}" pid="4" name="Pref_Time">
    <vt:lpwstr>17:11:30, 16:29:10, 14:02:08, 17:30:38, 11:32:49, 10:43:58, 16:00:56, 13:53:55, 16:49:38</vt:lpwstr>
  </property>
  <property fmtid="{D5CDD505-2E9C-101B-9397-08002B2CF9AE}" pid="5" name="Pref_User">
    <vt:lpwstr>amett, htoo, mkop, hnic, jhvi, YMUR, hnic, htoo, hnic</vt:lpwstr>
  </property>
  <property fmtid="{D5CDD505-2E9C-101B-9397-08002B2CF9AE}" pid="6" name="Pref_FileName">
    <vt:lpwstr>COR-2020-00830-00-00-AC-TRA-EN-CRR.docx, COR-2020-00830-00-00-AC-CRR-EN.docx, COR-2020-00830-00-02-PAC-ORI.docx, COR-2020-00830-00-01-PAC-ORI.docx, COR-2020-00830-00-00-PAC-TRA-EN-CRR.docx, COR-2020-00830-00-00-PAC-CRR-EN.docx, COR-2020-00830-00-01-PA-TRA</vt:lpwstr>
  </property>
  <property fmtid="{D5CDD505-2E9C-101B-9397-08002B2CF9AE}" pid="7" name="ContentTypeId">
    <vt:lpwstr>0x010100EA97B91038054C99906057A708A1480A00FDD1300F153029438A7F7A7E5041607E</vt:lpwstr>
  </property>
  <property fmtid="{D5CDD505-2E9C-101B-9397-08002B2CF9AE}" pid="8" name="_dlc_DocIdItemGuid">
    <vt:lpwstr>cc02f9cf-33ae-474f-a7df-102a66309935</vt:lpwstr>
  </property>
  <property fmtid="{D5CDD505-2E9C-101B-9397-08002B2CF9AE}" pid="9" name="AvailableTranslations">
    <vt:lpwstr>7;#EN|f2175f21-25d7-44a3-96da-d6a61b075e1b;#29;#SV|c2ed69e7-a339-43d7-8f22-d93680a92aa0;#17;#PL|1e03da61-4678-4e07-b136-b5024ca9197b;#12;#EL|6d4f4d51-af9b-4650-94b4-4276bee85c91;#30;#DA|5d49c027-8956-412b-aa16-e85a0f96ad0e;#23;#DE|f6b31e5a-26fa-4935-b661-</vt:lpwstr>
  </property>
  <property fmtid="{D5CDD505-2E9C-101B-9397-08002B2CF9AE}" pid="10" name="DocumentType_0">
    <vt:lpwstr>AC|a4cc1d15-fb08-4679-ad46-e4e0cba5fe92</vt:lpwstr>
  </property>
  <property fmtid="{D5CDD505-2E9C-101B-9397-08002B2CF9AE}" pid="11" name="DossierName_0">
    <vt:lpwstr>CIVEX-VII|0f19ad9a-5413-4cad-8f15-98940fe4d70a</vt:lpwstr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830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ssierNumber">
    <vt:i4>2</vt:i4>
  </property>
  <property fmtid="{D5CDD505-2E9C-101B-9397-08002B2CF9AE}" pid="17" name="DocumentStatus">
    <vt:lpwstr>8;#TRA|150d2a88-1431-44e6-a8ca-0bb753ab8672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>71;#CIVEX-VII|0f19ad9a-5413-4cad-8f15-98940fe4d70a</vt:lpwstr>
  </property>
  <property fmtid="{D5CDD505-2E9C-101B-9397-08002B2CF9AE}" pid="20" name="DocumentSource">
    <vt:lpwstr>1;#CoR|cb2d75ef-4a7d-4393-b797-49ed6298a5ea</vt:lpwstr>
  </property>
  <property fmtid="{D5CDD505-2E9C-101B-9397-08002B2CF9AE}" pid="21" name="AdoptionDate">
    <vt:filetime>2020-12-09T12:00:00Z</vt:filetime>
  </property>
  <property fmtid="{D5CDD505-2E9C-101B-9397-08002B2CF9AE}" pid="22" name="DocumentType">
    <vt:lpwstr>99;#AC|a4cc1d15-fb08-4679-ad46-e4e0cba5fe92</vt:lpwstr>
  </property>
  <property fmtid="{D5CDD505-2E9C-101B-9397-08002B2CF9AE}" pid="23" name="RequestingService">
    <vt:lpwstr>Affaires constitutionnelles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7;#EN|f2175f21-25d7-44a3-96da-d6a61b075e1b</vt:lpwstr>
  </property>
  <property fmtid="{D5CDD505-2E9C-101B-9397-08002B2CF9AE}" pid="28" name="MeetingName">
    <vt:lpwstr/>
  </property>
  <property fmtid="{D5CDD505-2E9C-101B-9397-08002B2CF9AE}" pid="29" name="AvailableTranslations_0">
    <vt:lpwstr>EN|f2175f21-25d7-44a3-96da-d6a61b075e1b;DA|5d49c027-8956-412b-aa16-e85a0f96ad0e;HU|6b229040-c589-4408-b4c1-4285663d20a8;NL|55c6556c-b4f4-441d-9acf-c498d4f838bd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99;#AC|a4cc1d15-fb08-4679-ad46-e4e0cba5fe92;#30;#DA|5d49c027-8956-412b-aa16-e85a0f96ad0e;#18;#NL|55c6556c-b4f4-441d-9acf-c498d4f838bd;#27;#HU|6b229040-c589-4408-b4c1-4285663d20a8;#8;#TRA|150d2a88-1431-44e6-a8ca-0bb753ab8672;#7;#EN|f2175f21-25d7-44a3-96da-</vt:lpwstr>
  </property>
  <property fmtid="{D5CDD505-2E9C-101B-9397-08002B2CF9AE}" pid="33" name="Rapporteur">
    <vt:lpwstr>PIHELGAS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2020</vt:i4>
  </property>
  <property fmtid="{D5CDD505-2E9C-101B-9397-08002B2CF9AE}" pid="37" name="FicheNumber">
    <vt:i4>14146</vt:i4>
  </property>
  <property fmtid="{D5CDD505-2E9C-101B-9397-08002B2CF9AE}" pid="38" name="DocumentLanguage">
    <vt:lpwstr>17;#PL|1e03da61-4678-4e07-b136-b5024ca9197b</vt:lpwstr>
  </property>
  <property fmtid="{D5CDD505-2E9C-101B-9397-08002B2CF9AE}" pid="39" name="_docset_NoMedatataSyncRequired">
    <vt:lpwstr>False</vt:lpwstr>
  </property>
</Properties>
</file>